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E019B9">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rsidR="0052058A" w:rsidRDefault="0052058A">
      <w:pPr>
        <w:widowControl/>
        <w:jc w:val="center"/>
        <w:rPr>
          <w:rFonts w:asciiTheme="minorEastAsia" w:eastAsiaTheme="minorEastAsia" w:hAnsi="宋体"/>
          <w:color w:val="002060"/>
          <w:sz w:val="72"/>
          <w:szCs w:val="72"/>
        </w:rPr>
      </w:pPr>
    </w:p>
    <w:p w:rsidR="0052058A" w:rsidRDefault="0052058A">
      <w:pPr>
        <w:widowControl/>
        <w:jc w:val="center"/>
        <w:rPr>
          <w:rFonts w:asciiTheme="minorEastAsia" w:eastAsiaTheme="minorEastAsia" w:hAnsiTheme="minorEastAsia"/>
          <w:b/>
          <w:sz w:val="72"/>
          <w:szCs w:val="72"/>
        </w:rPr>
      </w:pPr>
    </w:p>
    <w:p w:rsidR="0052058A" w:rsidRDefault="0052058A">
      <w:pPr>
        <w:widowControl/>
        <w:jc w:val="center"/>
        <w:rPr>
          <w:rFonts w:asciiTheme="minorEastAsia" w:eastAsiaTheme="minorEastAsia" w:hAnsiTheme="minorEastAsia"/>
          <w:b/>
          <w:sz w:val="72"/>
          <w:szCs w:val="72"/>
        </w:rPr>
      </w:pPr>
    </w:p>
    <w:p w:rsidR="0052058A" w:rsidRDefault="0052058A">
      <w:pPr>
        <w:widowControl/>
        <w:jc w:val="center"/>
        <w:rPr>
          <w:rFonts w:asciiTheme="minorEastAsia" w:eastAsiaTheme="minorEastAsia" w:hAnsiTheme="minorEastAsia"/>
          <w:b/>
          <w:sz w:val="72"/>
          <w:szCs w:val="72"/>
        </w:rPr>
      </w:pPr>
    </w:p>
    <w:p w:rsidR="0052058A" w:rsidRDefault="0052058A">
      <w:pPr>
        <w:widowControl/>
        <w:jc w:val="center"/>
        <w:rPr>
          <w:rFonts w:asciiTheme="minorEastAsia" w:eastAsiaTheme="minorEastAsia" w:hAnsiTheme="minorEastAsia"/>
          <w:b/>
          <w:sz w:val="72"/>
          <w:szCs w:val="72"/>
        </w:rPr>
      </w:pPr>
    </w:p>
    <w:p w:rsidR="0052058A" w:rsidRDefault="0052058A">
      <w:pPr>
        <w:widowControl/>
        <w:rPr>
          <w:b/>
          <w:sz w:val="44"/>
          <w:szCs w:val="44"/>
        </w:rPr>
      </w:pPr>
    </w:p>
    <w:p w:rsidR="0052058A" w:rsidRDefault="00E019B9">
      <w:pPr>
        <w:widowControl/>
        <w:jc w:val="center"/>
        <w:rPr>
          <w:rFonts w:ascii="楷体" w:hAnsi="楷体" w:cs="楷体"/>
          <w:b/>
          <w:sz w:val="36"/>
          <w:szCs w:val="36"/>
        </w:rPr>
        <w:sectPr w:rsidR="0052058A">
          <w:footerReference w:type="default" r:id="rId10"/>
          <w:pgSz w:w="11906" w:h="16838"/>
          <w:pgMar w:top="2098" w:right="1474" w:bottom="1985" w:left="1588" w:header="851" w:footer="992" w:gutter="0"/>
          <w:cols w:space="425"/>
          <w:docGrid w:type="lines" w:linePitch="312"/>
        </w:sectPr>
      </w:pPr>
      <w:r>
        <w:rPr>
          <w:b/>
          <w:sz w:val="36"/>
          <w:szCs w:val="36"/>
        </w:rPr>
        <w:t>廊坊市</w:t>
      </w:r>
      <w:r>
        <w:rPr>
          <w:rFonts w:hint="eastAsia"/>
          <w:b/>
          <w:sz w:val="36"/>
          <w:szCs w:val="36"/>
        </w:rPr>
        <w:t>中国共产党大厂回族自治县委员会办公室</w:t>
      </w:r>
    </w:p>
    <w:p w:rsidR="0052058A" w:rsidRDefault="00E019B9">
      <w:pPr>
        <w:widowControl/>
        <w:spacing w:after="0" w:line="600" w:lineRule="exact"/>
        <w:jc w:val="center"/>
        <w:rPr>
          <w:rFonts w:ascii="黑体" w:eastAsia="黑体"/>
          <w:sz w:val="48"/>
          <w:szCs w:val="48"/>
        </w:rPr>
      </w:pPr>
      <w:r>
        <w:rPr>
          <w:rFonts w:ascii="黑体" w:eastAsia="黑体" w:hint="eastAsia"/>
          <w:sz w:val="48"/>
          <w:szCs w:val="48"/>
        </w:rPr>
        <w:lastRenderedPageBreak/>
        <w:t>目    录</w:t>
      </w:r>
    </w:p>
    <w:p w:rsidR="0052058A" w:rsidRDefault="0052058A">
      <w:pPr>
        <w:widowControl/>
        <w:spacing w:line="580" w:lineRule="exact"/>
        <w:ind w:firstLineChars="200" w:firstLine="640"/>
        <w:rPr>
          <w:rFonts w:eastAsia="黑体"/>
          <w:sz w:val="32"/>
          <w:szCs w:val="32"/>
        </w:rPr>
      </w:pPr>
    </w:p>
    <w:p w:rsidR="0052058A" w:rsidRDefault="00E019B9">
      <w:pPr>
        <w:widowControl/>
        <w:spacing w:line="580" w:lineRule="exact"/>
        <w:ind w:firstLineChars="200" w:firstLine="640"/>
        <w:rPr>
          <w:rFonts w:eastAsia="仿宋_GB2312"/>
          <w:spacing w:val="-20"/>
          <w:sz w:val="24"/>
          <w:szCs w:val="32"/>
        </w:rPr>
      </w:pPr>
      <w:r>
        <w:rPr>
          <w:rFonts w:eastAsia="黑体"/>
          <w:sz w:val="32"/>
          <w:szCs w:val="32"/>
        </w:rPr>
        <w:t>第一部分</w:t>
      </w:r>
      <w:r>
        <w:rPr>
          <w:rFonts w:eastAsia="黑体" w:hint="eastAsia"/>
          <w:sz w:val="32"/>
          <w:szCs w:val="32"/>
        </w:rPr>
        <w:t xml:space="preserve">   </w:t>
      </w:r>
      <w:r>
        <w:rPr>
          <w:rFonts w:eastAsia="黑体"/>
          <w:spacing w:val="-20"/>
          <w:sz w:val="32"/>
          <w:szCs w:val="32"/>
        </w:rPr>
        <w:t>部门概况</w:t>
      </w:r>
    </w:p>
    <w:p w:rsidR="0052058A" w:rsidRDefault="00E019B9" w:rsidP="003E3F5B">
      <w:pPr>
        <w:widowControl/>
        <w:spacing w:line="580" w:lineRule="exact"/>
        <w:ind w:firstLineChars="398" w:firstLine="1274"/>
        <w:rPr>
          <w:rFonts w:eastAsia="仿宋_GB2312"/>
          <w:sz w:val="32"/>
          <w:szCs w:val="32"/>
        </w:rPr>
      </w:pPr>
      <w:r>
        <w:rPr>
          <w:rFonts w:eastAsia="仿宋_GB2312"/>
          <w:sz w:val="32"/>
          <w:szCs w:val="32"/>
        </w:rPr>
        <w:t>一、部门</w:t>
      </w:r>
      <w:r>
        <w:rPr>
          <w:rFonts w:eastAsia="仿宋_GB2312" w:hint="eastAsia"/>
          <w:sz w:val="32"/>
          <w:szCs w:val="32"/>
        </w:rPr>
        <w:t>职责</w:t>
      </w:r>
    </w:p>
    <w:p w:rsidR="0052058A" w:rsidRDefault="00E019B9" w:rsidP="003E3F5B">
      <w:pPr>
        <w:widowControl/>
        <w:spacing w:line="580" w:lineRule="exact"/>
        <w:ind w:firstLineChars="398" w:firstLine="1274"/>
        <w:rPr>
          <w:rFonts w:eastAsia="仿宋_GB2312"/>
          <w:sz w:val="32"/>
          <w:szCs w:val="32"/>
        </w:rPr>
      </w:pPr>
      <w:r>
        <w:rPr>
          <w:rFonts w:eastAsia="仿宋_GB2312"/>
          <w:sz w:val="32"/>
          <w:szCs w:val="32"/>
        </w:rPr>
        <w:t>二、</w:t>
      </w:r>
      <w:r>
        <w:rPr>
          <w:rFonts w:eastAsia="仿宋_GB2312" w:hint="eastAsia"/>
          <w:sz w:val="32"/>
          <w:szCs w:val="32"/>
        </w:rPr>
        <w:t>机构设置</w:t>
      </w:r>
    </w:p>
    <w:p w:rsidR="0052058A" w:rsidRDefault="00E019B9">
      <w:pPr>
        <w:widowControl/>
        <w:spacing w:line="580" w:lineRule="exact"/>
        <w:ind w:firstLineChars="200" w:firstLine="640"/>
        <w:rPr>
          <w:rFonts w:eastAsia="仿宋_GB2312"/>
          <w:sz w:val="20"/>
          <w:szCs w:val="32"/>
        </w:rPr>
      </w:pPr>
      <w:r>
        <w:rPr>
          <w:rFonts w:eastAsia="黑体"/>
          <w:sz w:val="32"/>
          <w:szCs w:val="32"/>
        </w:rPr>
        <w:t>第二部分</w:t>
      </w:r>
      <w:r>
        <w:rPr>
          <w:rFonts w:eastAsia="黑体" w:hint="eastAsia"/>
          <w:sz w:val="32"/>
          <w:szCs w:val="32"/>
        </w:rPr>
        <w:t xml:space="preserve">   </w:t>
      </w:r>
      <w:r>
        <w:rPr>
          <w:rFonts w:eastAsia="黑体"/>
          <w:sz w:val="32"/>
          <w:szCs w:val="32"/>
        </w:rPr>
        <w:t>201</w:t>
      </w:r>
      <w:r>
        <w:rPr>
          <w:rFonts w:eastAsia="黑体" w:hint="eastAsia"/>
          <w:sz w:val="32"/>
          <w:szCs w:val="32"/>
        </w:rPr>
        <w:t>8</w:t>
      </w:r>
      <w:r>
        <w:rPr>
          <w:rFonts w:eastAsia="黑体"/>
          <w:sz w:val="32"/>
          <w:szCs w:val="32"/>
        </w:rPr>
        <w:t>年度部门决算报表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一、收入支出决算总表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二、收入决算表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三、支出决算表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四、财政拨款收入支出决算总表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五、一般公共预算财政拨款支出决算表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六、一般公共预算财政拨款基本支出决算表</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七、</w:t>
      </w:r>
      <w:r>
        <w:rPr>
          <w:rFonts w:eastAsia="仿宋_GB2312" w:hint="eastAsia"/>
          <w:sz w:val="32"/>
          <w:szCs w:val="32"/>
        </w:rPr>
        <w:t>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w:t>
      </w:r>
      <w:r>
        <w:rPr>
          <w:rFonts w:eastAsia="仿宋_GB2312" w:hint="eastAsia"/>
          <w:sz w:val="32"/>
          <w:szCs w:val="32"/>
        </w:rPr>
        <w:t>支出决算表</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八、</w:t>
      </w:r>
      <w:r>
        <w:rPr>
          <w:rFonts w:eastAsia="仿宋_GB2312"/>
          <w:sz w:val="32"/>
          <w:szCs w:val="32"/>
        </w:rPr>
        <w:t>政府性基金预算财政拨款收入支出决算表</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九</w:t>
      </w:r>
      <w:r>
        <w:rPr>
          <w:rFonts w:eastAsia="仿宋_GB2312"/>
          <w:sz w:val="32"/>
          <w:szCs w:val="32"/>
        </w:rPr>
        <w:t>、国有资本经营预算</w:t>
      </w:r>
      <w:r>
        <w:rPr>
          <w:rFonts w:eastAsia="仿宋_GB2312" w:hint="eastAsia"/>
          <w:sz w:val="32"/>
          <w:szCs w:val="32"/>
        </w:rPr>
        <w:t>财政拨款</w:t>
      </w:r>
      <w:r>
        <w:rPr>
          <w:rFonts w:eastAsia="仿宋_GB2312"/>
          <w:sz w:val="32"/>
          <w:szCs w:val="32"/>
        </w:rPr>
        <w:t>支出决算表</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十</w:t>
      </w:r>
      <w:r>
        <w:rPr>
          <w:rFonts w:eastAsia="仿宋_GB2312"/>
          <w:sz w:val="32"/>
          <w:szCs w:val="32"/>
        </w:rPr>
        <w:t>、政府采购情况表</w:t>
      </w:r>
    </w:p>
    <w:p w:rsidR="0052058A" w:rsidRDefault="0052058A">
      <w:pPr>
        <w:widowControl/>
        <w:spacing w:line="580" w:lineRule="exact"/>
        <w:ind w:firstLineChars="200" w:firstLine="640"/>
        <w:rPr>
          <w:rFonts w:eastAsia="黑体"/>
          <w:sz w:val="32"/>
          <w:szCs w:val="32"/>
        </w:rPr>
      </w:pPr>
    </w:p>
    <w:p w:rsidR="0052058A" w:rsidRDefault="00E019B9">
      <w:pPr>
        <w:widowControl/>
        <w:spacing w:line="580" w:lineRule="exact"/>
        <w:ind w:firstLineChars="200" w:firstLine="640"/>
        <w:rPr>
          <w:rFonts w:eastAsia="黑体"/>
          <w:sz w:val="32"/>
          <w:szCs w:val="32"/>
        </w:rPr>
      </w:pPr>
      <w:r>
        <w:rPr>
          <w:rFonts w:eastAsia="黑体" w:hint="eastAsia"/>
          <w:sz w:val="32"/>
          <w:szCs w:val="32"/>
        </w:rPr>
        <w:lastRenderedPageBreak/>
        <w:t>第三部分</w:t>
      </w:r>
      <w:r>
        <w:rPr>
          <w:rFonts w:eastAsia="黑体" w:hint="eastAsia"/>
          <w:sz w:val="32"/>
          <w:szCs w:val="32"/>
        </w:rPr>
        <w:t xml:space="preserve">   </w:t>
      </w:r>
      <w:r>
        <w:rPr>
          <w:rFonts w:eastAsia="黑体"/>
          <w:sz w:val="32"/>
          <w:szCs w:val="32"/>
        </w:rPr>
        <w:t>201</w:t>
      </w:r>
      <w:r>
        <w:rPr>
          <w:rFonts w:eastAsia="黑体" w:hint="eastAsia"/>
          <w:sz w:val="32"/>
          <w:szCs w:val="32"/>
        </w:rPr>
        <w:t>8</w:t>
      </w:r>
      <w:r>
        <w:rPr>
          <w:rFonts w:eastAsia="黑体"/>
          <w:sz w:val="32"/>
          <w:szCs w:val="32"/>
        </w:rPr>
        <w:t>年部门决算情况说明</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一、收入支出决算总体情况说明</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二、收入决算情况说明</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三、支出决算情况说明</w:t>
      </w:r>
    </w:p>
    <w:p w:rsidR="0052058A" w:rsidRDefault="00E019B9">
      <w:pPr>
        <w:widowControl/>
        <w:spacing w:line="580" w:lineRule="exact"/>
        <w:ind w:left="640" w:firstLineChars="200" w:firstLine="640"/>
        <w:rPr>
          <w:rFonts w:eastAsia="仿宋_GB2312"/>
          <w:sz w:val="32"/>
          <w:szCs w:val="32"/>
        </w:rPr>
      </w:pPr>
      <w:r>
        <w:rPr>
          <w:rFonts w:eastAsia="仿宋_GB2312"/>
          <w:sz w:val="32"/>
          <w:szCs w:val="32"/>
        </w:rPr>
        <w:t>四、财政拨款收入支出决算情况说明</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五、一般公共预算财政拨款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经费支出决算情况说明</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六</w:t>
      </w:r>
      <w:r>
        <w:rPr>
          <w:rFonts w:eastAsia="仿宋_GB2312"/>
          <w:sz w:val="32"/>
          <w:szCs w:val="32"/>
        </w:rPr>
        <w:t>、预算绩效情况说明</w:t>
      </w:r>
    </w:p>
    <w:p w:rsidR="0052058A" w:rsidRDefault="00E019B9">
      <w:pPr>
        <w:widowControl/>
        <w:spacing w:line="580" w:lineRule="exact"/>
        <w:ind w:left="640" w:firstLineChars="200" w:firstLine="640"/>
        <w:rPr>
          <w:rFonts w:eastAsia="仿宋_GB2312"/>
          <w:sz w:val="32"/>
          <w:szCs w:val="32"/>
        </w:rPr>
      </w:pPr>
      <w:r>
        <w:rPr>
          <w:rFonts w:eastAsia="仿宋_GB2312" w:hint="eastAsia"/>
          <w:sz w:val="32"/>
          <w:szCs w:val="32"/>
        </w:rPr>
        <w:t>七</w:t>
      </w:r>
      <w:r>
        <w:rPr>
          <w:rFonts w:eastAsia="仿宋_GB2312"/>
          <w:sz w:val="32"/>
          <w:szCs w:val="32"/>
        </w:rPr>
        <w:t>、其他重要事项的说明</w:t>
      </w:r>
    </w:p>
    <w:p w:rsidR="0052058A" w:rsidRDefault="00E019B9">
      <w:pPr>
        <w:widowControl/>
        <w:spacing w:line="580" w:lineRule="exact"/>
        <w:ind w:firstLineChars="200" w:firstLine="640"/>
        <w:rPr>
          <w:rFonts w:eastAsia="黑体"/>
          <w:sz w:val="32"/>
          <w:szCs w:val="32"/>
        </w:rPr>
      </w:pPr>
      <w:r>
        <w:rPr>
          <w:rFonts w:eastAsia="黑体"/>
          <w:sz w:val="32"/>
          <w:szCs w:val="32"/>
        </w:rPr>
        <w:t>第四部分</w:t>
      </w:r>
      <w:r>
        <w:rPr>
          <w:rFonts w:eastAsia="黑体" w:hint="eastAsia"/>
          <w:sz w:val="32"/>
          <w:szCs w:val="32"/>
        </w:rPr>
        <w:t xml:space="preserve">   </w:t>
      </w:r>
      <w:r>
        <w:rPr>
          <w:rFonts w:eastAsia="黑体"/>
          <w:sz w:val="32"/>
          <w:szCs w:val="32"/>
        </w:rPr>
        <w:t>名词解释</w:t>
      </w:r>
    </w:p>
    <w:p w:rsidR="0052058A" w:rsidRDefault="0052058A">
      <w:pPr>
        <w:widowControl/>
        <w:spacing w:line="580" w:lineRule="exact"/>
        <w:ind w:firstLineChars="200" w:firstLine="640"/>
        <w:rPr>
          <w:rFonts w:eastAsia="黑体"/>
          <w:sz w:val="32"/>
          <w:szCs w:val="32"/>
        </w:rPr>
      </w:pPr>
    </w:p>
    <w:p w:rsidR="0052058A" w:rsidRDefault="0052058A">
      <w:pPr>
        <w:widowControl/>
        <w:spacing w:line="580" w:lineRule="exact"/>
        <w:ind w:firstLineChars="200" w:firstLine="640"/>
        <w:rPr>
          <w:rFonts w:eastAsia="黑体"/>
          <w:sz w:val="32"/>
          <w:szCs w:val="32"/>
        </w:rPr>
      </w:pPr>
    </w:p>
    <w:p w:rsidR="0052058A" w:rsidRDefault="0052058A">
      <w:pPr>
        <w:widowControl/>
        <w:spacing w:line="580" w:lineRule="exact"/>
        <w:ind w:firstLineChars="200" w:firstLine="640"/>
        <w:rPr>
          <w:rFonts w:eastAsia="黑体"/>
          <w:sz w:val="32"/>
          <w:szCs w:val="32"/>
        </w:rPr>
      </w:pPr>
    </w:p>
    <w:p w:rsidR="0052058A" w:rsidRDefault="0052058A">
      <w:pPr>
        <w:widowControl/>
        <w:spacing w:line="580" w:lineRule="exact"/>
        <w:ind w:firstLineChars="200" w:firstLine="640"/>
        <w:rPr>
          <w:rFonts w:eastAsia="黑体"/>
          <w:sz w:val="32"/>
          <w:szCs w:val="32"/>
        </w:rPr>
      </w:pPr>
    </w:p>
    <w:p w:rsidR="0052058A" w:rsidRDefault="00E019B9">
      <w:r>
        <w:br w:type="page"/>
      </w:r>
    </w:p>
    <w:p w:rsidR="0052058A" w:rsidRDefault="0052058A"/>
    <w:p w:rsidR="0052058A" w:rsidRDefault="0052058A"/>
    <w:p w:rsidR="0052058A" w:rsidRDefault="0052058A"/>
    <w:p w:rsidR="0052058A" w:rsidRDefault="0052058A"/>
    <w:p w:rsidR="0052058A" w:rsidRDefault="0052058A"/>
    <w:p w:rsidR="0052058A" w:rsidRDefault="0052058A"/>
    <w:p w:rsidR="0052058A" w:rsidRDefault="00E019B9">
      <w:pPr>
        <w:widowControl/>
        <w:jc w:val="center"/>
        <w:rPr>
          <w:color w:val="000000" w:themeColor="text1"/>
          <w:sz w:val="96"/>
          <w:szCs w:val="96"/>
        </w:rPr>
      </w:pPr>
      <w:r>
        <w:rPr>
          <w:rFonts w:asciiTheme="minorEastAsia" w:eastAsiaTheme="minorEastAsia" w:hAnsi="宋体" w:hint="eastAsia"/>
          <w:color w:val="000000" w:themeColor="text1"/>
          <w:sz w:val="96"/>
          <w:szCs w:val="96"/>
        </w:rPr>
        <w:t>第一部分  部门概况</w:t>
      </w:r>
    </w:p>
    <w:p w:rsidR="0052058A" w:rsidRDefault="0052058A"/>
    <w:p w:rsidR="0052058A" w:rsidRDefault="0052058A"/>
    <w:p w:rsidR="0052058A" w:rsidRDefault="0052058A"/>
    <w:p w:rsidR="0052058A" w:rsidRDefault="0052058A"/>
    <w:p w:rsidR="0052058A" w:rsidRDefault="0052058A"/>
    <w:p w:rsidR="0052058A" w:rsidRDefault="0052058A"/>
    <w:p w:rsidR="0052058A" w:rsidRDefault="0052058A">
      <w:pPr>
        <w:pStyle w:val="1"/>
        <w:spacing w:before="0" w:after="0" w:line="600" w:lineRule="exact"/>
        <w:jc w:val="left"/>
        <w:rPr>
          <w:rFonts w:ascii="黑体" w:eastAsia="黑体" w:hAnsiTheme="minorHAnsi" w:cs="黑体"/>
          <w:b w:val="0"/>
          <w:bCs w:val="0"/>
          <w:kern w:val="0"/>
          <w:sz w:val="32"/>
          <w:szCs w:val="32"/>
        </w:rPr>
      </w:pPr>
    </w:p>
    <w:p w:rsidR="0052058A" w:rsidRDefault="0052058A"/>
    <w:p w:rsidR="0052058A" w:rsidRDefault="00E019B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lastRenderedPageBreak/>
        <w:t>一、部门职责</w:t>
      </w:r>
    </w:p>
    <w:p w:rsidR="0052058A" w:rsidRDefault="00E019B9">
      <w:pPr>
        <w:autoSpaceDE w:val="0"/>
        <w:autoSpaceDN w:val="0"/>
        <w:adjustRightInd w:val="0"/>
        <w:spacing w:after="0" w:line="560" w:lineRule="exact"/>
        <w:ind w:firstLineChars="200" w:firstLine="640"/>
        <w:jc w:val="left"/>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1、中国共产党大厂回族自治县委员会办公室主要职责：大厂县委办为县委工作机关，机构规格正科级，挂县委保密机要局（县国家保密局、县国家密码管理局）牌子，主要职责是：负责推动党中央和省、市、县委决策部署的落实，按照县委要求协调有关方面开展工作，承担县委运行保障具体事务；负责县委和县委办公室文件、县委领导讲话稿的起草、修改等工作；负责党中央和省、市、县委重要决策部署贯彻落实的督促检查，领导批示和交办事项的催办反馈，县委统一部署的重大专项活动的推进落实；围绕党中央和省、市、县委总体工作部署开展调查研究，收集和处理信息、反映动态；负责社情民意的搜集、整理和编报工作；负责县委全委会、县委常委会和县委其他重要会议的会务工作；负责县委领导参加重大活动和日常工作活动的组织安排；负责县委日常文书处理；负责县委文件和县委办公室代县委行文的审核工作；负责县委制定党内规范性文件、领导地方立法的服务工作；负责统筹协调和督促指导全县党务公开工作；负责全县档案事业宏观管理和执法复议、监督指导等工作；负责部分原县级领导同志和县委办公室离退休人员的服务工作；负责县委交办的其他任务。县委全面深化改革委员会办公室、县委国家安全委员会办公室，设在县委办公室。</w:t>
      </w:r>
    </w:p>
    <w:p w:rsidR="0052058A" w:rsidRDefault="00E019B9">
      <w:pPr>
        <w:spacing w:line="360" w:lineRule="auto"/>
        <w:ind w:firstLineChars="200" w:firstLine="640"/>
        <w:jc w:val="left"/>
        <w:rPr>
          <w:rFonts w:ascii="仿宋_GB2312" w:eastAsia="仿宋_GB2312" w:hAnsiTheme="minorHAnsi" w:cs="ArialUnicodeMS"/>
          <w:kern w:val="0"/>
          <w:sz w:val="32"/>
          <w:szCs w:val="32"/>
          <w:highlight w:val="yellow"/>
        </w:rPr>
      </w:pPr>
      <w:r>
        <w:rPr>
          <w:rFonts w:ascii="仿宋_GB2312" w:eastAsia="仿宋_GB2312" w:hint="eastAsia"/>
          <w:sz w:val="32"/>
          <w:szCs w:val="32"/>
        </w:rPr>
        <w:t>2、大厂回族自治县公务接待办公室</w:t>
      </w:r>
      <w:r>
        <w:rPr>
          <w:rFonts w:ascii="仿宋_GB2312" w:eastAsia="仿宋_GB2312" w:hAnsi="仿宋_GB2312" w:cs="仿宋_GB2312" w:hint="eastAsia"/>
          <w:sz w:val="32"/>
          <w:szCs w:val="32"/>
        </w:rPr>
        <w:t>的主要职责是:</w:t>
      </w:r>
      <w:r>
        <w:rPr>
          <w:rFonts w:ascii="仿宋_GB2312" w:eastAsia="仿宋_GB2312" w:hint="eastAsia"/>
          <w:sz w:val="32"/>
          <w:szCs w:val="32"/>
        </w:rPr>
        <w:t>参与并积极配合县委办大型会议和活动组织安排、公务接待等，保障县委</w:t>
      </w:r>
      <w:r>
        <w:rPr>
          <w:rFonts w:ascii="仿宋_GB2312" w:eastAsia="仿宋_GB2312" w:hint="eastAsia"/>
          <w:sz w:val="32"/>
          <w:szCs w:val="32"/>
        </w:rPr>
        <w:lastRenderedPageBreak/>
        <w:t>办公室大型会议、重大活动的正常、顺利举办。执行《大厂回族自治县党政机关国内公务接待管理办法》,负责做好上级领导和党政、商务团组来我县开展重要调研指导、督导检查、参观考察、洽谈交流等活动的接待工作;负责做好县委领导重要外联活动的协调、服务工作;配合做好全县大型活动、重大会议及重要来宾有关接待、会务和服务工作;负责做好县委、县人大、县政府、县政协及部分所属部门重大事项及重要公务活动的协调服务工作。接待办房产和基础设施维修、物资购置及分配和其他行政事务工作。</w:t>
      </w:r>
    </w:p>
    <w:p w:rsidR="0052058A" w:rsidRDefault="00E019B9">
      <w:pPr>
        <w:pStyle w:val="1"/>
        <w:spacing w:before="0" w:after="0" w:line="600" w:lineRule="exact"/>
        <w:ind w:firstLineChars="200" w:firstLine="640"/>
        <w:jc w:val="left"/>
        <w:rPr>
          <w:rFonts w:ascii="黑体" w:eastAsia="黑体" w:hAnsiTheme="minorHAnsi" w:cs="黑体"/>
          <w:b w:val="0"/>
          <w:bCs w:val="0"/>
          <w:kern w:val="0"/>
          <w:sz w:val="32"/>
          <w:szCs w:val="32"/>
        </w:rPr>
      </w:pPr>
      <w:r>
        <w:rPr>
          <w:rFonts w:ascii="黑体" w:eastAsia="黑体" w:hAnsiTheme="minorHAnsi" w:cs="黑体" w:hint="eastAsia"/>
          <w:b w:val="0"/>
          <w:bCs w:val="0"/>
          <w:kern w:val="0"/>
          <w:sz w:val="32"/>
          <w:szCs w:val="32"/>
        </w:rPr>
        <w:t>二、机构设置</w:t>
      </w:r>
    </w:p>
    <w:p w:rsidR="0052058A" w:rsidRDefault="00E019B9">
      <w:pPr>
        <w:spacing w:after="0" w:line="560" w:lineRule="exact"/>
        <w:ind w:firstLineChars="200" w:firstLine="640"/>
        <w:rPr>
          <w:rFonts w:ascii="仿宋_GB2312" w:eastAsia="仿宋_GB2312" w:hAnsiTheme="minorHAnsi" w:cs="ArialUnicodeMS"/>
          <w:kern w:val="0"/>
          <w:sz w:val="32"/>
          <w:szCs w:val="32"/>
        </w:rPr>
      </w:pPr>
      <w:r>
        <w:rPr>
          <w:rFonts w:ascii="仿宋_GB2312" w:eastAsia="仿宋_GB2312" w:hAnsiTheme="minorHAnsi" w:cs="ArialUnicodeMS" w:hint="eastAsia"/>
          <w:kern w:val="0"/>
          <w:sz w:val="32"/>
          <w:szCs w:val="32"/>
        </w:rPr>
        <w:t>从决算编报单位构成看，纳入2018 年度本部门决算汇编范围的独立核算单位（以下简称“单位”）共2个，具体情况如下：</w:t>
      </w:r>
    </w:p>
    <w:tbl>
      <w:tblPr>
        <w:tblStyle w:val="a9"/>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0"/>
        <w:gridCol w:w="4635"/>
        <w:gridCol w:w="1860"/>
        <w:gridCol w:w="2285"/>
      </w:tblGrid>
      <w:tr w:rsidR="0052058A">
        <w:trPr>
          <w:trHeight w:val="811"/>
          <w:jc w:val="center"/>
        </w:trPr>
        <w:tc>
          <w:tcPr>
            <w:tcW w:w="800" w:type="dxa"/>
            <w:vAlign w:val="center"/>
          </w:tcPr>
          <w:p w:rsidR="0052058A" w:rsidRDefault="00E019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序号</w:t>
            </w:r>
          </w:p>
        </w:tc>
        <w:tc>
          <w:tcPr>
            <w:tcW w:w="4635" w:type="dxa"/>
            <w:vAlign w:val="center"/>
          </w:tcPr>
          <w:p w:rsidR="0052058A" w:rsidRDefault="00E019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单位名称</w:t>
            </w:r>
          </w:p>
        </w:tc>
        <w:tc>
          <w:tcPr>
            <w:tcW w:w="1860" w:type="dxa"/>
            <w:vAlign w:val="center"/>
          </w:tcPr>
          <w:p w:rsidR="0052058A" w:rsidRDefault="00E019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单位基本性质</w:t>
            </w:r>
          </w:p>
        </w:tc>
        <w:tc>
          <w:tcPr>
            <w:tcW w:w="2285" w:type="dxa"/>
            <w:vAlign w:val="center"/>
          </w:tcPr>
          <w:p w:rsidR="0052058A" w:rsidRDefault="00E019B9">
            <w:pPr>
              <w:spacing w:after="0" w:line="560" w:lineRule="exact"/>
              <w:jc w:val="center"/>
              <w:rPr>
                <w:rFonts w:ascii="仿宋_GB2312" w:eastAsia="仿宋_GB2312" w:hAnsiTheme="minorHAnsi" w:cs="ArialUnicodeMS"/>
                <w:b/>
                <w:bCs/>
                <w:kern w:val="0"/>
                <w:sz w:val="28"/>
                <w:szCs w:val="28"/>
              </w:rPr>
            </w:pPr>
            <w:r>
              <w:rPr>
                <w:rFonts w:ascii="仿宋_GB2312" w:eastAsia="仿宋_GB2312" w:hAnsiTheme="minorHAnsi" w:cs="ArialUnicodeMS" w:hint="eastAsia"/>
                <w:b/>
                <w:bCs/>
                <w:kern w:val="0"/>
                <w:sz w:val="28"/>
                <w:szCs w:val="28"/>
              </w:rPr>
              <w:t>经费形式</w:t>
            </w:r>
          </w:p>
        </w:tc>
      </w:tr>
      <w:tr w:rsidR="0052058A">
        <w:trPr>
          <w:trHeight w:val="596"/>
          <w:jc w:val="center"/>
        </w:trPr>
        <w:tc>
          <w:tcPr>
            <w:tcW w:w="800" w:type="dxa"/>
          </w:tcPr>
          <w:p w:rsidR="0052058A" w:rsidRDefault="00E019B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1</w:t>
            </w:r>
          </w:p>
        </w:tc>
        <w:tc>
          <w:tcPr>
            <w:tcW w:w="4635" w:type="dxa"/>
          </w:tcPr>
          <w:p w:rsidR="0052058A" w:rsidRDefault="00E019B9">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中国共产党大厂回族自治县委员会办公室(本级)</w:t>
            </w:r>
          </w:p>
        </w:tc>
        <w:tc>
          <w:tcPr>
            <w:tcW w:w="1860" w:type="dxa"/>
          </w:tcPr>
          <w:p w:rsidR="0052058A" w:rsidRDefault="00E019B9">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行政单位</w:t>
            </w:r>
          </w:p>
        </w:tc>
        <w:tc>
          <w:tcPr>
            <w:tcW w:w="2285" w:type="dxa"/>
          </w:tcPr>
          <w:p w:rsidR="0052058A" w:rsidRDefault="00E019B9">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财政拨款</w:t>
            </w:r>
          </w:p>
        </w:tc>
      </w:tr>
      <w:tr w:rsidR="0052058A">
        <w:trPr>
          <w:trHeight w:val="838"/>
          <w:jc w:val="center"/>
        </w:trPr>
        <w:tc>
          <w:tcPr>
            <w:tcW w:w="800" w:type="dxa"/>
          </w:tcPr>
          <w:p w:rsidR="0052058A" w:rsidRDefault="00E019B9">
            <w:pPr>
              <w:spacing w:after="0" w:line="560" w:lineRule="exact"/>
              <w:jc w:val="center"/>
              <w:rPr>
                <w:rFonts w:ascii="仿宋_GB2312" w:eastAsia="仿宋_GB2312" w:hAnsiTheme="minorHAnsi" w:cs="ArialUnicodeMS"/>
                <w:kern w:val="0"/>
                <w:sz w:val="28"/>
                <w:szCs w:val="28"/>
              </w:rPr>
            </w:pPr>
            <w:r>
              <w:rPr>
                <w:rFonts w:ascii="仿宋_GB2312" w:eastAsia="仿宋_GB2312" w:hAnsiTheme="minorHAnsi" w:cs="ArialUnicodeMS" w:hint="eastAsia"/>
                <w:kern w:val="0"/>
                <w:sz w:val="28"/>
                <w:szCs w:val="28"/>
              </w:rPr>
              <w:t>2</w:t>
            </w:r>
          </w:p>
        </w:tc>
        <w:tc>
          <w:tcPr>
            <w:tcW w:w="4635" w:type="dxa"/>
            <w:vAlign w:val="center"/>
          </w:tcPr>
          <w:p w:rsidR="0052058A" w:rsidRDefault="00E019B9">
            <w:pPr>
              <w:spacing w:line="360" w:lineRule="auto"/>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sz w:val="21"/>
                <w:szCs w:val="21"/>
              </w:rPr>
              <w:t>大厂回族自治县公务接待办公室</w:t>
            </w:r>
          </w:p>
        </w:tc>
        <w:tc>
          <w:tcPr>
            <w:tcW w:w="1860" w:type="dxa"/>
            <w:vAlign w:val="center"/>
          </w:tcPr>
          <w:p w:rsidR="0052058A" w:rsidRDefault="00E019B9">
            <w:pPr>
              <w:spacing w:line="360" w:lineRule="auto"/>
              <w:jc w:val="center"/>
              <w:rPr>
                <w:rFonts w:asciiTheme="majorEastAsia" w:eastAsiaTheme="majorEastAsia" w:hAnsiTheme="majorEastAsia" w:cstheme="majorEastAsia"/>
                <w:kern w:val="0"/>
                <w:sz w:val="21"/>
                <w:szCs w:val="21"/>
              </w:rPr>
            </w:pPr>
            <w:proofErr w:type="gramStart"/>
            <w:r>
              <w:rPr>
                <w:rFonts w:asciiTheme="majorEastAsia" w:eastAsiaTheme="majorEastAsia" w:hAnsiTheme="majorEastAsia" w:cstheme="majorEastAsia" w:hint="eastAsia"/>
                <w:sz w:val="21"/>
                <w:szCs w:val="21"/>
              </w:rPr>
              <w:t>参公事业单位</w:t>
            </w:r>
            <w:proofErr w:type="gramEnd"/>
          </w:p>
        </w:tc>
        <w:tc>
          <w:tcPr>
            <w:tcW w:w="2285" w:type="dxa"/>
          </w:tcPr>
          <w:p w:rsidR="0052058A" w:rsidRDefault="00E019B9">
            <w:pPr>
              <w:spacing w:after="0" w:line="560" w:lineRule="exact"/>
              <w:jc w:val="center"/>
              <w:rPr>
                <w:rFonts w:asciiTheme="majorEastAsia" w:eastAsiaTheme="majorEastAsia" w:hAnsiTheme="majorEastAsia" w:cstheme="majorEastAsia"/>
                <w:kern w:val="0"/>
                <w:sz w:val="21"/>
                <w:szCs w:val="21"/>
              </w:rPr>
            </w:pPr>
            <w:r>
              <w:rPr>
                <w:rFonts w:asciiTheme="majorEastAsia" w:eastAsiaTheme="majorEastAsia" w:hAnsiTheme="majorEastAsia" w:cstheme="majorEastAsia" w:hint="eastAsia"/>
                <w:kern w:val="0"/>
                <w:sz w:val="21"/>
                <w:szCs w:val="21"/>
              </w:rPr>
              <w:t>财政性资金基本保证</w:t>
            </w:r>
          </w:p>
        </w:tc>
      </w:tr>
    </w:tbl>
    <w:p w:rsidR="0052058A" w:rsidRDefault="0052058A">
      <w:pPr>
        <w:widowControl/>
        <w:spacing w:line="560" w:lineRule="exact"/>
        <w:rPr>
          <w:rFonts w:ascii="黑体" w:eastAsia="黑体" w:hAnsiTheme="minorHAnsi" w:cs="MS-UIGothic,Bold"/>
          <w:bCs/>
          <w:kern w:val="0"/>
          <w:sz w:val="52"/>
          <w:szCs w:val="52"/>
        </w:rPr>
      </w:pPr>
    </w:p>
    <w:p w:rsidR="0052058A" w:rsidRDefault="0052058A">
      <w:pPr>
        <w:widowControl/>
        <w:spacing w:line="560" w:lineRule="exact"/>
        <w:jc w:val="center"/>
        <w:rPr>
          <w:rFonts w:ascii="黑体" w:eastAsia="黑体" w:hAnsiTheme="minorHAnsi" w:cs="MS-UIGothic,Bold"/>
          <w:bCs/>
          <w:kern w:val="0"/>
          <w:sz w:val="52"/>
          <w:szCs w:val="52"/>
        </w:rPr>
        <w:sectPr w:rsidR="0052058A">
          <w:pgSz w:w="11906" w:h="16838"/>
          <w:pgMar w:top="2098" w:right="1474" w:bottom="1984" w:left="1588" w:header="851" w:footer="992" w:gutter="0"/>
          <w:cols w:space="0"/>
          <w:docGrid w:type="lines" w:linePitch="312"/>
        </w:sectPr>
      </w:pPr>
    </w:p>
    <w:p w:rsidR="0052058A" w:rsidRDefault="0052058A">
      <w:pPr>
        <w:widowControl/>
        <w:spacing w:line="1200" w:lineRule="exact"/>
        <w:jc w:val="center"/>
        <w:rPr>
          <w:rFonts w:asciiTheme="minorEastAsia" w:eastAsiaTheme="minorEastAsia" w:hAnsi="宋体"/>
          <w:color w:val="000000" w:themeColor="text1"/>
          <w:sz w:val="72"/>
          <w:szCs w:val="96"/>
        </w:rPr>
      </w:pPr>
    </w:p>
    <w:p w:rsidR="0052058A" w:rsidRDefault="0052058A">
      <w:pPr>
        <w:widowControl/>
        <w:spacing w:line="1200" w:lineRule="exact"/>
        <w:jc w:val="center"/>
        <w:rPr>
          <w:rFonts w:asciiTheme="minorEastAsia" w:eastAsiaTheme="minorEastAsia" w:hAnsi="宋体"/>
          <w:color w:val="000000" w:themeColor="text1"/>
          <w:sz w:val="72"/>
          <w:szCs w:val="96"/>
        </w:rPr>
      </w:pPr>
    </w:p>
    <w:p w:rsidR="0052058A" w:rsidRDefault="0052058A">
      <w:pPr>
        <w:widowControl/>
        <w:spacing w:line="1200" w:lineRule="exact"/>
        <w:jc w:val="center"/>
        <w:rPr>
          <w:rFonts w:asciiTheme="minorEastAsia" w:eastAsiaTheme="minorEastAsia" w:hAnsi="宋体"/>
          <w:color w:val="000000" w:themeColor="text1"/>
          <w:sz w:val="72"/>
          <w:szCs w:val="96"/>
        </w:rPr>
      </w:pPr>
    </w:p>
    <w:p w:rsidR="0052058A" w:rsidRDefault="00E019B9">
      <w:pPr>
        <w:widowControl/>
        <w:spacing w:line="1200" w:lineRule="exact"/>
        <w:jc w:val="center"/>
        <w:rPr>
          <w:rFonts w:asciiTheme="minorEastAsia" w:eastAsiaTheme="minorEastAsia" w:hAnsi="宋体"/>
          <w:color w:val="000000" w:themeColor="text1"/>
          <w:sz w:val="72"/>
          <w:szCs w:val="96"/>
        </w:rPr>
      </w:pPr>
      <w:r>
        <w:rPr>
          <w:rFonts w:asciiTheme="minorEastAsia" w:eastAsiaTheme="minorEastAsia" w:hAnsi="宋体" w:hint="eastAsia"/>
          <w:color w:val="000000" w:themeColor="text1"/>
          <w:sz w:val="72"/>
          <w:szCs w:val="96"/>
        </w:rPr>
        <w:t>第二部分</w:t>
      </w:r>
    </w:p>
    <w:p w:rsidR="0052058A" w:rsidRDefault="00E019B9">
      <w:pPr>
        <w:widowControl/>
        <w:spacing w:line="1200" w:lineRule="exact"/>
        <w:jc w:val="center"/>
        <w:rPr>
          <w:color w:val="000000" w:themeColor="text1"/>
          <w:sz w:val="72"/>
          <w:szCs w:val="96"/>
        </w:rPr>
      </w:pPr>
      <w:r>
        <w:rPr>
          <w:rFonts w:asciiTheme="minorEastAsia" w:eastAsiaTheme="minorEastAsia" w:hAnsi="宋体" w:hint="eastAsia"/>
          <w:color w:val="000000" w:themeColor="text1"/>
          <w:sz w:val="72"/>
          <w:szCs w:val="96"/>
        </w:rPr>
        <w:t>2018年度部门决算报表</w:t>
      </w:r>
    </w:p>
    <w:p w:rsidR="0052058A" w:rsidRDefault="0052058A">
      <w:pPr>
        <w:widowControl/>
        <w:spacing w:line="560" w:lineRule="exact"/>
        <w:jc w:val="center"/>
        <w:rPr>
          <w:rFonts w:ascii="黑体" w:eastAsia="黑体" w:hAnsiTheme="minorHAnsi" w:cs="MS-UIGothic,Bold"/>
          <w:bCs/>
          <w:kern w:val="0"/>
          <w:sz w:val="52"/>
          <w:szCs w:val="52"/>
        </w:rPr>
      </w:pPr>
    </w:p>
    <w:p w:rsidR="0052058A" w:rsidRDefault="0052058A">
      <w:pPr>
        <w:widowControl/>
        <w:spacing w:line="560" w:lineRule="exact"/>
        <w:jc w:val="center"/>
        <w:rPr>
          <w:rFonts w:ascii="黑体" w:eastAsia="黑体" w:hAnsiTheme="minorHAnsi" w:cs="MS-UIGothic,Bold"/>
          <w:bCs/>
          <w:kern w:val="0"/>
          <w:sz w:val="52"/>
          <w:szCs w:val="52"/>
        </w:rPr>
      </w:pPr>
    </w:p>
    <w:p w:rsidR="0052058A" w:rsidRDefault="0052058A">
      <w:pPr>
        <w:rPr>
          <w:rFonts w:ascii="宋体" w:hAnsi="宋体" w:cs="ArialUnicodeMS"/>
          <w:color w:val="000000"/>
          <w:kern w:val="0"/>
        </w:rPr>
      </w:pPr>
    </w:p>
    <w:p w:rsidR="0052058A" w:rsidRDefault="0052058A">
      <w:pPr>
        <w:rPr>
          <w:rFonts w:ascii="宋体" w:hAnsi="宋体" w:cs="ArialUnicodeMS"/>
          <w:color w:val="000000"/>
          <w:kern w:val="0"/>
        </w:rPr>
        <w:sectPr w:rsidR="0052058A">
          <w:pgSz w:w="11906" w:h="16838"/>
          <w:pgMar w:top="2098" w:right="1474" w:bottom="1984" w:left="1588" w:header="851" w:footer="992" w:gutter="0"/>
          <w:cols w:space="0"/>
          <w:docGrid w:type="lines" w:linePitch="312"/>
        </w:sectPr>
      </w:pPr>
    </w:p>
    <w:tbl>
      <w:tblPr>
        <w:tblW w:w="9300" w:type="dxa"/>
        <w:jc w:val="center"/>
        <w:tblLayout w:type="fixed"/>
        <w:tblCellMar>
          <w:left w:w="0" w:type="dxa"/>
          <w:right w:w="0" w:type="dxa"/>
        </w:tblCellMar>
        <w:tblLook w:val="04A0"/>
      </w:tblPr>
      <w:tblGrid>
        <w:gridCol w:w="2700"/>
        <w:gridCol w:w="567"/>
        <w:gridCol w:w="1336"/>
        <w:gridCol w:w="2700"/>
        <w:gridCol w:w="567"/>
        <w:gridCol w:w="1430"/>
      </w:tblGrid>
      <w:tr w:rsidR="0052058A">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440" w:lineRule="exac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收入支出决算总表</w:t>
            </w:r>
          </w:p>
        </w:tc>
      </w:tr>
      <w:tr w:rsidR="0052058A">
        <w:trPr>
          <w:trHeight w:val="261"/>
          <w:jc w:val="center"/>
        </w:trPr>
        <w:tc>
          <w:tcPr>
            <w:tcW w:w="2700" w:type="dxa"/>
            <w:tcBorders>
              <w:top w:val="nil"/>
              <w:left w:val="nil"/>
              <w:bottom w:val="nil"/>
              <w:right w:val="nil"/>
            </w:tcBorders>
            <w:shd w:val="clear" w:color="auto" w:fill="auto"/>
            <w:tcMar>
              <w:top w:w="15" w:type="dxa"/>
              <w:left w:w="15" w:type="dxa"/>
              <w:right w:w="15" w:type="dxa"/>
            </w:tcMar>
            <w:vAlign w:val="center"/>
          </w:tcPr>
          <w:p w:rsidR="0052058A" w:rsidRDefault="0052058A">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rsidR="0052058A" w:rsidRDefault="0052058A">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公开01表</w:t>
            </w:r>
          </w:p>
        </w:tc>
      </w:tr>
      <w:tr w:rsidR="0052058A">
        <w:trPr>
          <w:trHeight w:val="343"/>
          <w:jc w:val="center"/>
        </w:trPr>
        <w:tc>
          <w:tcPr>
            <w:tcW w:w="7303" w:type="dxa"/>
            <w:gridSpan w:val="4"/>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40" w:lineRule="exact"/>
              <w:rPr>
                <w:rFonts w:ascii="宋体" w:hAnsi="宋体" w:cs="宋体"/>
                <w:color w:val="000000"/>
                <w:sz w:val="20"/>
                <w:szCs w:val="20"/>
              </w:rPr>
            </w:pPr>
            <w:r>
              <w:rPr>
                <w:rFonts w:ascii="宋体" w:hAnsi="宋体" w:cs="宋体" w:hint="eastAsia"/>
                <w:color w:val="000000"/>
                <w:kern w:val="0"/>
                <w:sz w:val="20"/>
                <w:szCs w:val="20"/>
              </w:rPr>
              <w:t>部门：廊坊市中国共产党大厂回族自治县委员会办公室（本级）</w:t>
            </w:r>
          </w:p>
        </w:tc>
        <w:tc>
          <w:tcPr>
            <w:tcW w:w="567" w:type="dxa"/>
            <w:tcBorders>
              <w:top w:val="nil"/>
              <w:left w:val="nil"/>
              <w:bottom w:val="nil"/>
              <w:right w:val="nil"/>
            </w:tcBorders>
            <w:shd w:val="clear" w:color="auto" w:fill="auto"/>
            <w:tcMar>
              <w:top w:w="15" w:type="dxa"/>
              <w:left w:w="15" w:type="dxa"/>
              <w:right w:w="15" w:type="dxa"/>
            </w:tcMar>
            <w:vAlign w:val="center"/>
          </w:tcPr>
          <w:p w:rsidR="0052058A" w:rsidRDefault="0052058A">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exac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52058A">
        <w:trPr>
          <w:trHeight w:val="295"/>
          <w:jc w:val="center"/>
        </w:trPr>
        <w:tc>
          <w:tcPr>
            <w:tcW w:w="4603"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收入</w:t>
            </w:r>
          </w:p>
        </w:tc>
        <w:tc>
          <w:tcPr>
            <w:tcW w:w="4697"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支出</w:t>
            </w:r>
          </w:p>
        </w:tc>
      </w:tr>
      <w:tr w:rsidR="0052058A">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项目</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行次</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金额</w:t>
            </w:r>
          </w:p>
        </w:tc>
      </w:tr>
      <w:tr w:rsidR="0052058A">
        <w:trPr>
          <w:trHeight w:val="29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exact"/>
              <w:jc w:val="center"/>
              <w:rPr>
                <w:rFonts w:ascii="宋体" w:hAnsi="宋体" w:cs="宋体"/>
                <w:color w:val="000000"/>
                <w:sz w:val="20"/>
                <w:szCs w:val="20"/>
              </w:rPr>
            </w:pP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栏次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exact"/>
              <w:jc w:val="center"/>
              <w:rPr>
                <w:rFonts w:ascii="宋体" w:hAnsi="宋体" w:cs="宋体"/>
                <w:color w:val="000000"/>
                <w:sz w:val="20"/>
                <w:szCs w:val="20"/>
              </w:rPr>
            </w:pP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r>
      <w:tr w:rsidR="0052058A">
        <w:trPr>
          <w:trHeight w:val="36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一、财政拨款收入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1392.07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一、一般公共服务支出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1298.05</w:t>
            </w: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二、上级补助收入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二、外交支出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三、事业收入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三、国防支出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四、经营收入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四、公共安全支出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五、附属单位上缴收入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五、教育支出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六、其他收入</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六、科学技术支出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七、文化体育与传媒支出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八、社会保障和就业支出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39.13</w:t>
            </w: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九、医疗卫生与计划生育支出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14.28</w:t>
            </w: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十、节能环保支出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十一、城乡社区支出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十二、农林水支出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39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十三、交通运输支出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十四、资源勘探信息等支出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十五、商业服务业等支出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十六、金融支出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十七、援助其他地区支出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18</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十八、国土海洋气象等支出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45</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19</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十九、住房保障支出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46</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20.26</w:t>
            </w: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20</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二十、粮油物资储备支出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47</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21</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二十一、其他支出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48</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22</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二十二、债务还本支出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49</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00" w:lineRule="exact"/>
              <w:jc w:val="left"/>
              <w:rPr>
                <w:rFonts w:ascii="宋体" w:hAnsi="宋体" w:cs="宋体"/>
                <w:color w:val="000000"/>
                <w:sz w:val="20"/>
                <w:szCs w:val="20"/>
              </w:rPr>
            </w:pP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23</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二十三、债务付息支出</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50</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24</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1392.07</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本年支出合计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51</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1371.72</w:t>
            </w:r>
          </w:p>
        </w:tc>
      </w:tr>
      <w:tr w:rsidR="0052058A">
        <w:trPr>
          <w:trHeight w:val="385"/>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用事业基金弥补收支差额</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25</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结余分配</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52</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20"/>
                <w:szCs w:val="20"/>
              </w:rPr>
            </w:pP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年初结转和结余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26</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18"/>
                <w:szCs w:val="18"/>
              </w:rPr>
              <w:t>286.72</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 w:val="20"/>
                <w:szCs w:val="20"/>
              </w:rPr>
            </w:pPr>
            <w:r>
              <w:rPr>
                <w:rFonts w:ascii="宋体" w:hAnsi="宋体" w:cs="宋体" w:hint="eastAsia"/>
                <w:color w:val="000000"/>
                <w:kern w:val="0"/>
                <w:sz w:val="20"/>
                <w:szCs w:val="20"/>
              </w:rPr>
              <w:t>年末结转和结余</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53</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307.07</w:t>
            </w:r>
          </w:p>
        </w:tc>
      </w:tr>
      <w:tr w:rsidR="0052058A">
        <w:trPr>
          <w:trHeight w:val="337"/>
          <w:jc w:val="center"/>
        </w:trPr>
        <w:tc>
          <w:tcPr>
            <w:tcW w:w="270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27</w:t>
            </w:r>
          </w:p>
        </w:tc>
        <w:tc>
          <w:tcPr>
            <w:tcW w:w="133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right"/>
              <w:rPr>
                <w:rFonts w:ascii="宋体" w:hAnsi="宋体" w:cs="宋体"/>
                <w:color w:val="000000"/>
                <w:sz w:val="18"/>
                <w:szCs w:val="18"/>
              </w:rPr>
            </w:pPr>
            <w:r>
              <w:rPr>
                <w:rFonts w:ascii="宋体" w:hAnsi="宋体" w:cs="宋体" w:hint="eastAsia"/>
                <w:color w:val="000000"/>
                <w:sz w:val="18"/>
                <w:szCs w:val="18"/>
              </w:rPr>
              <w:t>1678.79</w:t>
            </w:r>
          </w:p>
        </w:tc>
        <w:tc>
          <w:tcPr>
            <w:tcW w:w="270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b/>
                <w:color w:val="000000"/>
                <w:sz w:val="20"/>
                <w:szCs w:val="20"/>
              </w:rPr>
            </w:pPr>
            <w:r>
              <w:rPr>
                <w:rFonts w:ascii="宋体" w:hAnsi="宋体" w:cs="宋体" w:hint="eastAsia"/>
                <w:b/>
                <w:color w:val="000000"/>
                <w:kern w:val="0"/>
                <w:sz w:val="20"/>
                <w:szCs w:val="20"/>
              </w:rPr>
              <w:t>总计</w:t>
            </w:r>
          </w:p>
        </w:tc>
        <w:tc>
          <w:tcPr>
            <w:tcW w:w="56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center"/>
              <w:textAlignment w:val="center"/>
              <w:rPr>
                <w:rFonts w:ascii="宋体" w:hAnsi="宋体" w:cs="宋体"/>
                <w:color w:val="000000"/>
                <w:sz w:val="20"/>
                <w:szCs w:val="20"/>
              </w:rPr>
            </w:pPr>
            <w:r>
              <w:rPr>
                <w:rFonts w:ascii="宋体" w:hAnsi="宋体" w:cs="宋体" w:hint="eastAsia"/>
                <w:color w:val="000000"/>
                <w:kern w:val="0"/>
                <w:sz w:val="20"/>
                <w:szCs w:val="20"/>
              </w:rPr>
              <w:t>54</w:t>
            </w:r>
          </w:p>
        </w:tc>
        <w:tc>
          <w:tcPr>
            <w:tcW w:w="143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20"/>
                <w:szCs w:val="20"/>
              </w:rPr>
            </w:pPr>
            <w:r>
              <w:rPr>
                <w:rFonts w:ascii="宋体" w:hAnsi="宋体" w:cs="宋体" w:hint="eastAsia"/>
                <w:color w:val="000000"/>
                <w:sz w:val="20"/>
                <w:szCs w:val="20"/>
              </w:rPr>
              <w:t>1678.79</w:t>
            </w:r>
          </w:p>
        </w:tc>
      </w:tr>
      <w:tr w:rsidR="0052058A">
        <w:trPr>
          <w:trHeight w:val="417"/>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00" w:lineRule="exact"/>
              <w:jc w:val="left"/>
              <w:textAlignment w:val="center"/>
              <w:rPr>
                <w:rFonts w:ascii="宋体" w:hAnsi="宋体" w:cs="宋体"/>
                <w:color w:val="000000"/>
                <w:szCs w:val="21"/>
              </w:rPr>
            </w:pPr>
            <w:r>
              <w:rPr>
                <w:rFonts w:ascii="宋体" w:hAnsi="宋体" w:cs="宋体" w:hint="eastAsia"/>
                <w:color w:val="000000"/>
                <w:kern w:val="0"/>
                <w:szCs w:val="21"/>
              </w:rPr>
              <w:t>注：本表反映部门本年度的总收支和年末结转结余情况。</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9073" w:type="dxa"/>
        <w:jc w:val="center"/>
        <w:tblLayout w:type="fixed"/>
        <w:tblCellMar>
          <w:left w:w="0" w:type="dxa"/>
          <w:right w:w="0" w:type="dxa"/>
        </w:tblCellMar>
        <w:tblLook w:val="04A0"/>
      </w:tblPr>
      <w:tblGrid>
        <w:gridCol w:w="335"/>
        <w:gridCol w:w="179"/>
        <w:gridCol w:w="240"/>
        <w:gridCol w:w="2314"/>
        <w:gridCol w:w="90"/>
        <w:gridCol w:w="260"/>
        <w:gridCol w:w="701"/>
        <w:gridCol w:w="114"/>
        <w:gridCol w:w="816"/>
        <w:gridCol w:w="555"/>
        <w:gridCol w:w="260"/>
        <w:gridCol w:w="555"/>
        <w:gridCol w:w="260"/>
        <w:gridCol w:w="275"/>
        <w:gridCol w:w="920"/>
        <w:gridCol w:w="926"/>
        <w:gridCol w:w="13"/>
        <w:gridCol w:w="260"/>
      </w:tblGrid>
      <w:tr w:rsidR="0052058A">
        <w:trPr>
          <w:gridAfter w:val="2"/>
          <w:wAfter w:w="273" w:type="dxa"/>
          <w:trHeight w:val="770"/>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bottom"/>
          </w:tcPr>
          <w:p w:rsidR="0052058A" w:rsidRDefault="00E019B9">
            <w:pPr>
              <w:widowControl/>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收入决算表</w:t>
            </w:r>
          </w:p>
        </w:tc>
      </w:tr>
      <w:tr w:rsidR="0052058A">
        <w:trPr>
          <w:trHeight w:val="362"/>
          <w:jc w:val="center"/>
        </w:trPr>
        <w:tc>
          <w:tcPr>
            <w:tcW w:w="335"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4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314"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816"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公开02表</w:t>
            </w:r>
          </w:p>
        </w:tc>
      </w:tr>
      <w:tr w:rsidR="0052058A">
        <w:trPr>
          <w:gridAfter w:val="1"/>
          <w:wAfter w:w="260" w:type="dxa"/>
          <w:trHeight w:val="362"/>
          <w:jc w:val="center"/>
        </w:trPr>
        <w:tc>
          <w:tcPr>
            <w:tcW w:w="5604" w:type="dxa"/>
            <w:gridSpan w:val="10"/>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部门：廊坊市中国共产党大厂回族自治县委员会办公室（本级）</w:t>
            </w: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394" w:type="dxa"/>
            <w:gridSpan w:val="5"/>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52058A">
        <w:trPr>
          <w:gridAfter w:val="2"/>
          <w:wAfter w:w="273" w:type="dxa"/>
          <w:trHeight w:val="325"/>
          <w:jc w:val="center"/>
        </w:trPr>
        <w:tc>
          <w:tcPr>
            <w:tcW w:w="3068" w:type="dxa"/>
            <w:gridSpan w:val="4"/>
            <w:tcBorders>
              <w:top w:val="single" w:sz="4" w:space="0" w:color="000000"/>
              <w:left w:val="single" w:sz="4" w:space="0" w:color="000000"/>
              <w:bottom w:val="single" w:sz="4" w:space="0" w:color="000000"/>
              <w:right w:val="single" w:sz="4" w:space="0" w:color="auto"/>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项目</w:t>
            </w:r>
          </w:p>
        </w:tc>
        <w:tc>
          <w:tcPr>
            <w:tcW w:w="1051" w:type="dxa"/>
            <w:gridSpan w:val="3"/>
            <w:tcBorders>
              <w:top w:val="single" w:sz="4" w:space="0" w:color="auto"/>
              <w:left w:val="single" w:sz="4" w:space="0" w:color="auto"/>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本年收入合计</w:t>
            </w:r>
          </w:p>
        </w:tc>
        <w:tc>
          <w:tcPr>
            <w:tcW w:w="930"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财政拨款收入</w:t>
            </w:r>
          </w:p>
        </w:tc>
        <w:tc>
          <w:tcPr>
            <w:tcW w:w="815"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上级补助收入</w:t>
            </w:r>
          </w:p>
        </w:tc>
        <w:tc>
          <w:tcPr>
            <w:tcW w:w="555"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事业收入</w:t>
            </w:r>
          </w:p>
        </w:tc>
        <w:tc>
          <w:tcPr>
            <w:tcW w:w="535" w:type="dxa"/>
            <w:gridSpan w:val="2"/>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经营收入</w:t>
            </w:r>
          </w:p>
        </w:tc>
        <w:tc>
          <w:tcPr>
            <w:tcW w:w="920" w:type="dxa"/>
            <w:tcBorders>
              <w:top w:val="single" w:sz="4" w:space="0" w:color="auto"/>
              <w:left w:val="nil"/>
              <w:bottom w:val="single" w:sz="4" w:space="0" w:color="auto"/>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附属单位上缴收入</w:t>
            </w:r>
          </w:p>
        </w:tc>
        <w:tc>
          <w:tcPr>
            <w:tcW w:w="926" w:type="dxa"/>
            <w:tcBorders>
              <w:top w:val="single" w:sz="4" w:space="0" w:color="auto"/>
              <w:left w:val="nil"/>
              <w:bottom w:val="single" w:sz="4" w:space="0" w:color="auto"/>
              <w:right w:val="single" w:sz="4" w:space="0" w:color="auto"/>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其他收入</w:t>
            </w:r>
          </w:p>
        </w:tc>
      </w:tr>
      <w:tr w:rsidR="0052058A">
        <w:trPr>
          <w:gridAfter w:val="2"/>
          <w:wAfter w:w="273" w:type="dxa"/>
          <w:trHeight w:val="626"/>
          <w:jc w:val="center"/>
        </w:trPr>
        <w:tc>
          <w:tcPr>
            <w:tcW w:w="754"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功能分类科目编码</w:t>
            </w:r>
          </w:p>
        </w:tc>
        <w:tc>
          <w:tcPr>
            <w:tcW w:w="2314" w:type="dxa"/>
            <w:tcBorders>
              <w:top w:val="nil"/>
              <w:left w:val="nil"/>
              <w:bottom w:val="single" w:sz="4" w:space="0" w:color="000000"/>
              <w:right w:val="single" w:sz="4" w:space="0" w:color="auto"/>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科目名称</w:t>
            </w:r>
          </w:p>
        </w:tc>
        <w:tc>
          <w:tcPr>
            <w:tcW w:w="1051" w:type="dxa"/>
            <w:gridSpan w:val="3"/>
            <w:tcBorders>
              <w:top w:val="single" w:sz="4" w:space="0" w:color="auto"/>
              <w:left w:val="single" w:sz="4" w:space="0" w:color="auto"/>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 w:val="20"/>
                <w:szCs w:val="20"/>
              </w:rPr>
            </w:pPr>
          </w:p>
        </w:tc>
        <w:tc>
          <w:tcPr>
            <w:tcW w:w="930"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c>
          <w:tcPr>
            <w:tcW w:w="815"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c>
          <w:tcPr>
            <w:tcW w:w="555"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c>
          <w:tcPr>
            <w:tcW w:w="535" w:type="dxa"/>
            <w:gridSpan w:val="2"/>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c>
          <w:tcPr>
            <w:tcW w:w="920" w:type="dxa"/>
            <w:tcBorders>
              <w:top w:val="single" w:sz="4" w:space="0" w:color="auto"/>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c>
          <w:tcPr>
            <w:tcW w:w="926" w:type="dxa"/>
            <w:tcBorders>
              <w:top w:val="single" w:sz="4" w:space="0" w:color="auto"/>
              <w:left w:val="nil"/>
              <w:bottom w:val="single" w:sz="4" w:space="0" w:color="000000"/>
              <w:right w:val="single" w:sz="4" w:space="0" w:color="auto"/>
            </w:tcBorders>
            <w:shd w:val="clear" w:color="auto" w:fill="auto"/>
            <w:tcMar>
              <w:top w:w="15" w:type="dxa"/>
              <w:left w:w="15" w:type="dxa"/>
              <w:right w:w="15" w:type="dxa"/>
            </w:tcMar>
            <w:vAlign w:val="center"/>
          </w:tcPr>
          <w:p w:rsidR="0052058A" w:rsidRDefault="0052058A">
            <w:pPr>
              <w:widowControl/>
              <w:spacing w:after="0" w:line="240" w:lineRule="atLeast"/>
              <w:jc w:val="center"/>
              <w:textAlignment w:val="center"/>
              <w:rPr>
                <w:rFonts w:ascii="宋体" w:hAnsi="宋体" w:cs="宋体"/>
                <w:color w:val="000000"/>
                <w:kern w:val="0"/>
                <w:sz w:val="20"/>
                <w:szCs w:val="20"/>
              </w:rPr>
            </w:pPr>
          </w:p>
        </w:tc>
      </w:tr>
      <w:tr w:rsidR="0052058A">
        <w:trPr>
          <w:gridAfter w:val="2"/>
          <w:wAfter w:w="273" w:type="dxa"/>
          <w:trHeight w:val="391"/>
          <w:jc w:val="center"/>
        </w:trPr>
        <w:tc>
          <w:tcPr>
            <w:tcW w:w="306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1051"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930"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1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55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535"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9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92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r>
      <w:tr w:rsidR="0052058A">
        <w:trPr>
          <w:gridAfter w:val="2"/>
          <w:wAfter w:w="273" w:type="dxa"/>
          <w:trHeight w:val="90"/>
          <w:jc w:val="center"/>
        </w:trPr>
        <w:tc>
          <w:tcPr>
            <w:tcW w:w="306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1051" w:type="dxa"/>
            <w:gridSpan w:val="3"/>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1392.07</w:t>
            </w:r>
          </w:p>
        </w:tc>
        <w:tc>
          <w:tcPr>
            <w:tcW w:w="930"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 w:val="18"/>
                <w:szCs w:val="18"/>
              </w:rPr>
            </w:pPr>
            <w:r>
              <w:rPr>
                <w:rFonts w:ascii="宋体" w:hAnsi="宋体" w:cs="宋体" w:hint="eastAsia"/>
                <w:b/>
                <w:color w:val="000000"/>
                <w:sz w:val="18"/>
                <w:szCs w:val="18"/>
              </w:rPr>
              <w:t>1392.07</w:t>
            </w:r>
          </w:p>
        </w:tc>
        <w:tc>
          <w:tcPr>
            <w:tcW w:w="815"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 w:val="18"/>
                <w:szCs w:val="18"/>
              </w:rPr>
            </w:pPr>
          </w:p>
        </w:tc>
        <w:tc>
          <w:tcPr>
            <w:tcW w:w="555"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 w:val="18"/>
                <w:szCs w:val="18"/>
              </w:rPr>
            </w:pPr>
          </w:p>
        </w:tc>
        <w:tc>
          <w:tcPr>
            <w:tcW w:w="535" w:type="dxa"/>
            <w:gridSpan w:val="2"/>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 w:val="18"/>
                <w:szCs w:val="18"/>
              </w:rPr>
            </w:pPr>
          </w:p>
        </w:tc>
        <w:tc>
          <w:tcPr>
            <w:tcW w:w="920"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 w:val="18"/>
                <w:szCs w:val="18"/>
              </w:rPr>
            </w:pPr>
          </w:p>
        </w:tc>
        <w:tc>
          <w:tcPr>
            <w:tcW w:w="926" w:type="dxa"/>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 w:val="18"/>
                <w:szCs w:val="18"/>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党委办公厅（室）及相关机构事务</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1318.41</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1318.41</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2013101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行政运行</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639.46</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639.46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2013105</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专项业务</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162.18</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162.18</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2013199</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其他党委办公厅（室）及相关机构事务支出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516.77</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516.77</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社会保障和就业支出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20805</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行政事业单位离退休</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2080505</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机关事业单位基本养老保险缴费支出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210</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医疗卫生与计划生育支出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21011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行政事业单位医疗</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2101101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行政单位医疗</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住房保障支出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22102</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住房改革支出</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371"/>
          <w:jc w:val="center"/>
        </w:trPr>
        <w:tc>
          <w:tcPr>
            <w:tcW w:w="754"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2210201</w:t>
            </w:r>
          </w:p>
        </w:tc>
        <w:tc>
          <w:tcPr>
            <w:tcW w:w="231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住房公积金</w:t>
            </w:r>
          </w:p>
        </w:tc>
        <w:tc>
          <w:tcPr>
            <w:tcW w:w="1051" w:type="dxa"/>
            <w:gridSpan w:val="3"/>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930"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8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5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53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9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gridAfter w:val="2"/>
          <w:wAfter w:w="273" w:type="dxa"/>
          <w:trHeight w:val="481"/>
          <w:jc w:val="center"/>
        </w:trPr>
        <w:tc>
          <w:tcPr>
            <w:tcW w:w="8800" w:type="dxa"/>
            <w:gridSpan w:val="16"/>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注：本表反映部门本年度取得的各项收入情况。</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9000" w:type="dxa"/>
        <w:tblLayout w:type="fixed"/>
        <w:tblCellMar>
          <w:left w:w="0" w:type="dxa"/>
          <w:right w:w="0" w:type="dxa"/>
        </w:tblCellMar>
        <w:tblLook w:val="04A0"/>
      </w:tblPr>
      <w:tblGrid>
        <w:gridCol w:w="290"/>
        <w:gridCol w:w="289"/>
        <w:gridCol w:w="561"/>
        <w:gridCol w:w="1359"/>
        <w:gridCol w:w="647"/>
        <w:gridCol w:w="436"/>
        <w:gridCol w:w="682"/>
        <w:gridCol w:w="402"/>
        <w:gridCol w:w="718"/>
        <w:gridCol w:w="365"/>
        <w:gridCol w:w="753"/>
        <w:gridCol w:w="331"/>
        <w:gridCol w:w="789"/>
        <w:gridCol w:w="294"/>
        <w:gridCol w:w="1084"/>
      </w:tblGrid>
      <w:tr w:rsidR="0052058A">
        <w:trPr>
          <w:trHeight w:val="79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支出决算表</w:t>
            </w:r>
          </w:p>
        </w:tc>
      </w:tr>
      <w:tr w:rsidR="0052058A">
        <w:trPr>
          <w:trHeight w:val="404"/>
        </w:trPr>
        <w:tc>
          <w:tcPr>
            <w:tcW w:w="29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561"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35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公开03表</w:t>
            </w:r>
          </w:p>
        </w:tc>
      </w:tr>
      <w:tr w:rsidR="0052058A">
        <w:trPr>
          <w:trHeight w:val="380"/>
        </w:trPr>
        <w:tc>
          <w:tcPr>
            <w:tcW w:w="6502" w:type="dxa"/>
            <w:gridSpan w:val="11"/>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部门：廊坊市中国共产党大厂回族自治县委员会办公室（本级）</w:t>
            </w: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52058A">
        <w:trPr>
          <w:trHeight w:val="837"/>
        </w:trPr>
        <w:tc>
          <w:tcPr>
            <w:tcW w:w="249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本年支出合计</w:t>
            </w:r>
          </w:p>
        </w:tc>
        <w:tc>
          <w:tcPr>
            <w:tcW w:w="1084"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084"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上缴上级支出</w:t>
            </w:r>
          </w:p>
        </w:tc>
        <w:tc>
          <w:tcPr>
            <w:tcW w:w="1083" w:type="dxa"/>
            <w:gridSpan w:val="2"/>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经营支出</w:t>
            </w:r>
          </w:p>
        </w:tc>
        <w:tc>
          <w:tcPr>
            <w:tcW w:w="1084" w:type="dxa"/>
            <w:tcBorders>
              <w:top w:val="single" w:sz="4" w:space="0" w:color="000000"/>
              <w:left w:val="nil"/>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对附属单位补助支出</w:t>
            </w:r>
          </w:p>
        </w:tc>
      </w:tr>
      <w:tr w:rsidR="0052058A">
        <w:trPr>
          <w:trHeight w:val="782"/>
        </w:trPr>
        <w:tc>
          <w:tcPr>
            <w:tcW w:w="1140" w:type="dxa"/>
            <w:gridSpan w:val="3"/>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084"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084"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083" w:type="dxa"/>
            <w:gridSpan w:val="2"/>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084" w:type="dxa"/>
            <w:tcBorders>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r>
      <w:tr w:rsidR="0052058A">
        <w:trPr>
          <w:trHeight w:val="395"/>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084"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083"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08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6</w:t>
            </w:r>
          </w:p>
        </w:tc>
      </w:tr>
      <w:tr w:rsidR="0052058A">
        <w:trPr>
          <w:trHeight w:val="440"/>
        </w:trPr>
        <w:tc>
          <w:tcPr>
            <w:tcW w:w="2499"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1371.72</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763.25</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608.47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b/>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一般公共服务支出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1298.05</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689.58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608.47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20128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民主党派及工商联事务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2012801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20129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群众团体事务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2012999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其他群众团体事务支出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4.44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党委办公厅（室）及相关机构事务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1278.14</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674.1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604.03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行政运行</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674.1</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674.1</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专项业务</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192.16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192.16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2013199</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其他党委办公厅（室）及相关机构事务支出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411.87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411.87</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社会保障和就业支出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行政事业单位离退休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2080505</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机关事业单位基本养老保险缴费支出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39.13</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210</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医疗卫生与计划生育支出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lastRenderedPageBreak/>
              <w:t>21011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行政事业单位医疗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2101101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行政单位医疗</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14.28</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住房保障支出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22102</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住房改革支出</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2210201</w:t>
            </w: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 w:val="15"/>
                <w:szCs w:val="15"/>
              </w:rPr>
            </w:pPr>
            <w:r>
              <w:rPr>
                <w:rFonts w:ascii="宋体" w:hAnsi="宋体" w:cs="宋体" w:hint="eastAsia"/>
                <w:color w:val="000000"/>
                <w:sz w:val="15"/>
                <w:szCs w:val="15"/>
              </w:rPr>
              <w:t xml:space="preserve"> 住房公积金</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20.26</w:t>
            </w: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Cs w:val="21"/>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468"/>
        </w:trPr>
        <w:tc>
          <w:tcPr>
            <w:tcW w:w="1140"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Cs w:val="21"/>
              </w:rPr>
            </w:pPr>
          </w:p>
        </w:tc>
        <w:tc>
          <w:tcPr>
            <w:tcW w:w="135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3"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c>
          <w:tcPr>
            <w:tcW w:w="108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748"/>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注：本表反映部门本年度各项支出情况。</w:t>
            </w:r>
          </w:p>
        </w:tc>
      </w:tr>
    </w:tbl>
    <w:p w:rsidR="0052058A" w:rsidRDefault="0052058A">
      <w:pPr>
        <w:widowControl/>
        <w:spacing w:after="0" w:line="560" w:lineRule="exact"/>
        <w:ind w:firstLineChars="200" w:firstLine="562"/>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717"/>
        <w:gridCol w:w="745"/>
        <w:gridCol w:w="325"/>
        <w:gridCol w:w="850"/>
        <w:gridCol w:w="2124"/>
        <w:gridCol w:w="191"/>
        <w:gridCol w:w="360"/>
        <w:gridCol w:w="650"/>
        <w:gridCol w:w="226"/>
        <w:gridCol w:w="599"/>
        <w:gridCol w:w="277"/>
        <w:gridCol w:w="876"/>
      </w:tblGrid>
      <w:tr w:rsidR="0052058A">
        <w:trPr>
          <w:trHeight w:val="152"/>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财政拨款收入支出决算总表</w:t>
            </w:r>
          </w:p>
        </w:tc>
      </w:tr>
      <w:tr w:rsidR="0052058A">
        <w:trPr>
          <w:trHeight w:val="90"/>
        </w:trPr>
        <w:tc>
          <w:tcPr>
            <w:tcW w:w="171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公开04表</w:t>
            </w:r>
          </w:p>
        </w:tc>
      </w:tr>
      <w:tr w:rsidR="0052058A">
        <w:trPr>
          <w:trHeight w:val="152"/>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20"/>
                <w:szCs w:val="20"/>
              </w:rPr>
            </w:pPr>
            <w:r>
              <w:rPr>
                <w:rFonts w:ascii="宋体" w:hAnsi="宋体" w:cs="宋体" w:hint="eastAsia"/>
                <w:color w:val="000000"/>
                <w:kern w:val="0"/>
                <w:sz w:val="20"/>
                <w:szCs w:val="20"/>
              </w:rPr>
              <w:t>部门：廊坊市中国共产党大厂回族自治县委员会办公室（本级）</w:t>
            </w:r>
          </w:p>
        </w:tc>
        <w:tc>
          <w:tcPr>
            <w:tcW w:w="65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52058A">
        <w:trPr>
          <w:trHeight w:val="90"/>
        </w:trPr>
        <w:tc>
          <w:tcPr>
            <w:tcW w:w="2787"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收     入</w:t>
            </w:r>
          </w:p>
        </w:tc>
        <w:tc>
          <w:tcPr>
            <w:tcW w:w="6153"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20"/>
                <w:szCs w:val="20"/>
              </w:rPr>
            </w:pPr>
            <w:r>
              <w:rPr>
                <w:rFonts w:ascii="宋体" w:hAnsi="宋体" w:cs="宋体" w:hint="eastAsia"/>
                <w:color w:val="000000"/>
                <w:kern w:val="0"/>
                <w:sz w:val="20"/>
                <w:szCs w:val="20"/>
              </w:rPr>
              <w:t>支     出</w:t>
            </w:r>
          </w:p>
        </w:tc>
      </w:tr>
      <w:tr w:rsidR="0052058A">
        <w:trPr>
          <w:trHeight w:val="17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25"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5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金额</w:t>
            </w:r>
          </w:p>
        </w:tc>
        <w:tc>
          <w:tcPr>
            <w:tcW w:w="2315"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项目</w:t>
            </w:r>
          </w:p>
        </w:tc>
        <w:tc>
          <w:tcPr>
            <w:tcW w:w="360"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行次</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合计</w:t>
            </w:r>
          </w:p>
        </w:tc>
        <w:tc>
          <w:tcPr>
            <w:tcW w:w="876"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一般公共预算财政拨款</w:t>
            </w:r>
          </w:p>
        </w:tc>
        <w:tc>
          <w:tcPr>
            <w:tcW w:w="876"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政府性基金预算财政拨款</w:t>
            </w: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 w:val="18"/>
                <w:szCs w:val="18"/>
              </w:rPr>
            </w:pP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栏次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r>
      <w:tr w:rsidR="0052058A">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20"/>
                <w:szCs w:val="20"/>
              </w:rPr>
              <w:t>1392.07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一、一般公共服务支出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1296.6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1296.6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二、外交支出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三、国防支出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四、公共安全支出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五、教育支出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六、科学技术支出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七、文化体育与传媒支出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八、社会保障和就业支出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39.13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39.13</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6"/>
                <w:szCs w:val="16"/>
              </w:rPr>
              <w:t>九、医疗卫生与计划生育支出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14.28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14.28</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十、节能环保支出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十一、城乡社区支出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39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十二、农林水支出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十三、交通运输支出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十四、资源勘探信息等支出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十五、商业服务业等支出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十六、金融支出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十七、援助其他地区支出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十八、国土海洋气象等支出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00" w:lineRule="exac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19</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十九、住房保障支出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20.26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00" w:lineRule="exact"/>
              <w:jc w:val="right"/>
              <w:rPr>
                <w:rFonts w:ascii="宋体" w:hAnsi="宋体" w:cs="宋体"/>
                <w:color w:val="000000"/>
                <w:sz w:val="18"/>
                <w:szCs w:val="18"/>
              </w:rPr>
            </w:pPr>
            <w:r>
              <w:rPr>
                <w:rFonts w:ascii="宋体" w:hAnsi="宋体" w:cs="宋体" w:hint="eastAsia"/>
                <w:color w:val="000000"/>
                <w:sz w:val="20"/>
                <w:szCs w:val="20"/>
              </w:rPr>
              <w:t>20.26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二十、粮油物资储备支出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48</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21</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二十一、其他支出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49</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22</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二十二、债务还本支出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50</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23</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二十三、债务付息支出</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51</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本年收入合计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24</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20"/>
                <w:szCs w:val="20"/>
              </w:rPr>
              <w:t>1392.07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本年支出合计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52</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1370.26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1370.26</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年初财政拨款结转和结余</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25</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285.27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年末财政拨款结转和结余</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53</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307.07</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307.07</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一般公共预算财政拨款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26</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285.27</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12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 xml:space="preserve">  政府性基金预算财政拨款</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27</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left"/>
              <w:rPr>
                <w:rFonts w:ascii="宋体" w:hAnsi="宋体" w:cs="宋体"/>
                <w:color w:val="000000"/>
                <w:sz w:val="18"/>
                <w:szCs w:val="18"/>
              </w:rPr>
            </w:pP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55</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90"/>
        </w:trPr>
        <w:tc>
          <w:tcPr>
            <w:tcW w:w="2462" w:type="dxa"/>
            <w:gridSpan w:val="2"/>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25"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28</w:t>
            </w:r>
          </w:p>
        </w:tc>
        <w:tc>
          <w:tcPr>
            <w:tcW w:w="85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1677.34</w:t>
            </w:r>
          </w:p>
        </w:tc>
        <w:tc>
          <w:tcPr>
            <w:tcW w:w="231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b/>
                <w:color w:val="000000"/>
                <w:sz w:val="18"/>
                <w:szCs w:val="18"/>
              </w:rPr>
            </w:pPr>
            <w:r>
              <w:rPr>
                <w:rFonts w:ascii="宋体" w:hAnsi="宋体" w:cs="宋体" w:hint="eastAsia"/>
                <w:b/>
                <w:color w:val="000000"/>
                <w:kern w:val="0"/>
                <w:sz w:val="18"/>
                <w:szCs w:val="18"/>
              </w:rPr>
              <w:t>总计</w:t>
            </w:r>
          </w:p>
        </w:tc>
        <w:tc>
          <w:tcPr>
            <w:tcW w:w="3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 w:val="18"/>
                <w:szCs w:val="18"/>
              </w:rPr>
            </w:pPr>
            <w:r>
              <w:rPr>
                <w:rFonts w:ascii="宋体" w:hAnsi="宋体" w:cs="宋体" w:hint="eastAsia"/>
                <w:color w:val="000000"/>
                <w:kern w:val="0"/>
                <w:sz w:val="18"/>
                <w:szCs w:val="18"/>
              </w:rPr>
              <w:t>56</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1677.34</w:t>
            </w:r>
          </w:p>
        </w:tc>
        <w:tc>
          <w:tcPr>
            <w:tcW w:w="876"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8"/>
                <w:szCs w:val="18"/>
              </w:rPr>
            </w:pPr>
            <w:r>
              <w:rPr>
                <w:rFonts w:ascii="宋体" w:hAnsi="宋体" w:cs="宋体" w:hint="eastAsia"/>
                <w:color w:val="000000"/>
                <w:sz w:val="18"/>
                <w:szCs w:val="18"/>
              </w:rPr>
              <w:t>1677.34</w:t>
            </w:r>
          </w:p>
        </w:tc>
        <w:tc>
          <w:tcPr>
            <w:tcW w:w="87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8"/>
                <w:szCs w:val="18"/>
              </w:rPr>
            </w:pPr>
          </w:p>
        </w:tc>
      </w:tr>
      <w:tr w:rsidR="0052058A">
        <w:trPr>
          <w:trHeight w:val="155"/>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 w:val="18"/>
                <w:szCs w:val="18"/>
              </w:rPr>
            </w:pPr>
            <w:r>
              <w:rPr>
                <w:rFonts w:ascii="宋体" w:hAnsi="宋体" w:cs="宋体" w:hint="eastAsia"/>
                <w:color w:val="000000"/>
                <w:kern w:val="0"/>
                <w:sz w:val="18"/>
                <w:szCs w:val="18"/>
              </w:rPr>
              <w:t>注：本表反映部门本年度一般公共预算财政拨款和政府性基金预算财政拨款的总收支和年末结转结余情况。</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317"/>
        <w:gridCol w:w="319"/>
        <w:gridCol w:w="357"/>
        <w:gridCol w:w="2109"/>
        <w:gridCol w:w="745"/>
        <w:gridCol w:w="1174"/>
        <w:gridCol w:w="718"/>
        <w:gridCol w:w="1201"/>
        <w:gridCol w:w="1920"/>
      </w:tblGrid>
      <w:tr w:rsidR="0052058A">
        <w:trPr>
          <w:trHeight w:val="600"/>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rsidR="0052058A" w:rsidRDefault="00E019B9">
            <w:pPr>
              <w:widowControl/>
              <w:spacing w:after="0" w:line="240" w:lineRule="auto"/>
              <w:jc w:val="center"/>
              <w:textAlignment w:val="bottom"/>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一般公共预算财政拨款支出决算表</w:t>
            </w:r>
          </w:p>
        </w:tc>
      </w:tr>
      <w:tr w:rsidR="0052058A">
        <w:trPr>
          <w:trHeight w:val="334"/>
        </w:trPr>
        <w:tc>
          <w:tcPr>
            <w:tcW w:w="31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210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745"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公开05表</w:t>
            </w:r>
          </w:p>
        </w:tc>
      </w:tr>
      <w:tr w:rsidR="0052058A">
        <w:trPr>
          <w:trHeight w:val="334"/>
        </w:trPr>
        <w:tc>
          <w:tcPr>
            <w:tcW w:w="5739" w:type="dxa"/>
            <w:gridSpan w:val="7"/>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rPr>
                <w:rFonts w:ascii="Arial" w:hAnsi="Arial" w:cs="Arial"/>
                <w:color w:val="000000"/>
                <w:szCs w:val="21"/>
              </w:rPr>
            </w:pPr>
            <w:r>
              <w:rPr>
                <w:rFonts w:ascii="宋体" w:hAnsi="宋体" w:cs="宋体" w:hint="eastAsia"/>
                <w:color w:val="000000"/>
                <w:kern w:val="0"/>
                <w:szCs w:val="21"/>
              </w:rPr>
              <w:t>部门：廊坊市中国共产党大厂回族自治县委员会办公室（本级）</w:t>
            </w: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52058A">
        <w:trPr>
          <w:trHeight w:val="351"/>
        </w:trPr>
        <w:tc>
          <w:tcPr>
            <w:tcW w:w="3102"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5758" w:type="dxa"/>
            <w:gridSpan w:val="5"/>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本年支出</w:t>
            </w:r>
          </w:p>
        </w:tc>
      </w:tr>
      <w:tr w:rsidR="0052058A">
        <w:trPr>
          <w:trHeight w:val="334"/>
        </w:trPr>
        <w:tc>
          <w:tcPr>
            <w:tcW w:w="993"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2109"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919" w:type="dxa"/>
            <w:gridSpan w:val="2"/>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92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项目支出</w:t>
            </w:r>
          </w:p>
        </w:tc>
      </w:tr>
      <w:tr w:rsidR="0052058A">
        <w:trPr>
          <w:trHeight w:val="334"/>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r>
      <w:tr w:rsidR="0052058A">
        <w:trPr>
          <w:trHeight w:val="312"/>
        </w:trPr>
        <w:tc>
          <w:tcPr>
            <w:tcW w:w="993"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2109"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19" w:type="dxa"/>
            <w:gridSpan w:val="2"/>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c>
          <w:tcPr>
            <w:tcW w:w="192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tLeast"/>
              <w:jc w:val="center"/>
              <w:rPr>
                <w:rFonts w:ascii="宋体" w:hAnsi="宋体" w:cs="宋体"/>
                <w:color w:val="000000"/>
                <w:szCs w:val="21"/>
              </w:rPr>
            </w:pPr>
          </w:p>
        </w:tc>
      </w:tr>
      <w:tr w:rsidR="0052058A">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3</w:t>
            </w:r>
          </w:p>
        </w:tc>
      </w:tr>
      <w:tr w:rsidR="0052058A">
        <w:trPr>
          <w:trHeight w:val="368"/>
        </w:trPr>
        <w:tc>
          <w:tcPr>
            <w:tcW w:w="3102"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1370.26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763.25</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b/>
                <w:color w:val="000000"/>
                <w:szCs w:val="21"/>
              </w:rPr>
            </w:pPr>
            <w:r>
              <w:rPr>
                <w:rFonts w:ascii="宋体" w:hAnsi="宋体" w:cs="宋体" w:hint="eastAsia"/>
                <w:b/>
                <w:color w:val="000000"/>
                <w:szCs w:val="21"/>
              </w:rPr>
              <w:t>607.01</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一般公共服务支出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1296.59</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689.58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607.01</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20128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民主党派及工商联事务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15.48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trHeight w:val="90"/>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2012801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15.48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15.48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20129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群众团体事务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2.98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2.98</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2012999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 xml:space="preserve"> 其他群众团体事务支出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2.98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2.98</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20131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党委办公厅（室）及相关机构事务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1278.13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674.1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604.03</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2013101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行政运行</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674.1</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674.1</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2013105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专项业务</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192.16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192.16</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2013199</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 xml:space="preserve">  其他党委办公厅（室）及相关机构事务支出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411.87</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 w:val="15"/>
                <w:szCs w:val="15"/>
              </w:rPr>
            </w:pP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 w:val="15"/>
                <w:szCs w:val="15"/>
              </w:rPr>
            </w:pPr>
            <w:r>
              <w:rPr>
                <w:rFonts w:ascii="宋体" w:hAnsi="宋体" w:cs="宋体" w:hint="eastAsia"/>
                <w:color w:val="000000"/>
                <w:sz w:val="15"/>
                <w:szCs w:val="15"/>
              </w:rPr>
              <w:t>411.87</w:t>
            </w: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208</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社会保障和就业支出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20805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行政事业单位离退休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2080505</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 xml:space="preserve">  机关事业单位基本养老保险缴费支出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39.13</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210</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医疗卫生与计划生育支出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21011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行政事业单位医疗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2101101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行政单位医疗</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14.28</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221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住房保障支出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22102</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住房改革支出</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993"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2210201</w:t>
            </w:r>
          </w:p>
        </w:tc>
        <w:tc>
          <w:tcPr>
            <w:tcW w:w="210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left"/>
              <w:rPr>
                <w:rFonts w:ascii="宋体" w:hAnsi="宋体" w:cs="宋体"/>
                <w:color w:val="000000"/>
                <w:szCs w:val="21"/>
              </w:rPr>
            </w:pPr>
            <w:r>
              <w:rPr>
                <w:rFonts w:ascii="宋体" w:hAnsi="宋体" w:cs="宋体" w:hint="eastAsia"/>
                <w:color w:val="000000"/>
                <w:sz w:val="15"/>
                <w:szCs w:val="15"/>
              </w:rPr>
              <w:t xml:space="preserve"> 住房公积金</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19"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tLeast"/>
              <w:jc w:val="right"/>
              <w:rPr>
                <w:rFonts w:ascii="宋体" w:hAnsi="宋体" w:cs="宋体"/>
                <w:color w:val="000000"/>
                <w:szCs w:val="21"/>
              </w:rPr>
            </w:pPr>
            <w:r>
              <w:rPr>
                <w:rFonts w:ascii="宋体" w:hAnsi="宋体" w:cs="宋体" w:hint="eastAsia"/>
                <w:color w:val="000000"/>
                <w:sz w:val="15"/>
                <w:szCs w:val="15"/>
              </w:rPr>
              <w:t>20.26</w:t>
            </w:r>
          </w:p>
        </w:tc>
        <w:tc>
          <w:tcPr>
            <w:tcW w:w="192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tLeast"/>
              <w:jc w:val="right"/>
              <w:rPr>
                <w:rFonts w:ascii="宋体" w:hAnsi="宋体" w:cs="宋体"/>
                <w:color w:val="000000"/>
                <w:szCs w:val="21"/>
              </w:rPr>
            </w:pPr>
          </w:p>
        </w:tc>
      </w:tr>
      <w:tr w:rsidR="0052058A">
        <w:trPr>
          <w:trHeight w:val="368"/>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tLeast"/>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注：本表反映部门本年度一般公共预算财政拨款收入及支出情况。      </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9180" w:type="dxa"/>
        <w:jc w:val="center"/>
        <w:tblLayout w:type="fixed"/>
        <w:tblCellMar>
          <w:left w:w="0" w:type="dxa"/>
          <w:right w:w="0" w:type="dxa"/>
        </w:tblCellMar>
        <w:tblLook w:val="04A0"/>
      </w:tblPr>
      <w:tblGrid>
        <w:gridCol w:w="558"/>
        <w:gridCol w:w="1597"/>
        <w:gridCol w:w="840"/>
        <w:gridCol w:w="477"/>
        <w:gridCol w:w="1763"/>
        <w:gridCol w:w="740"/>
        <w:gridCol w:w="560"/>
        <w:gridCol w:w="1788"/>
        <w:gridCol w:w="857"/>
      </w:tblGrid>
      <w:tr w:rsidR="0052058A">
        <w:trPr>
          <w:trHeight w:val="526"/>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一般公共预算财政拨款基本支出决算表</w:t>
            </w:r>
          </w:p>
        </w:tc>
      </w:tr>
      <w:tr w:rsidR="0052058A">
        <w:trPr>
          <w:trHeight w:val="269"/>
          <w:jc w:val="center"/>
        </w:trPr>
        <w:tc>
          <w:tcPr>
            <w:tcW w:w="558"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公开06表</w:t>
            </w:r>
          </w:p>
        </w:tc>
      </w:tr>
      <w:tr w:rsidR="0052058A">
        <w:trPr>
          <w:trHeight w:val="269"/>
          <w:jc w:val="center"/>
        </w:trPr>
        <w:tc>
          <w:tcPr>
            <w:tcW w:w="5975" w:type="dxa"/>
            <w:gridSpan w:val="6"/>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部门：廊坊市中国共产党大厂回族自治县委员会办公室（本级）</w:t>
            </w:r>
          </w:p>
        </w:tc>
        <w:tc>
          <w:tcPr>
            <w:tcW w:w="56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52058A">
        <w:trPr>
          <w:trHeight w:val="277"/>
          <w:jc w:val="center"/>
        </w:trPr>
        <w:tc>
          <w:tcPr>
            <w:tcW w:w="2995" w:type="dxa"/>
            <w:gridSpan w:val="3"/>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人员经费</w:t>
            </w:r>
          </w:p>
        </w:tc>
        <w:tc>
          <w:tcPr>
            <w:tcW w:w="6185" w:type="dxa"/>
            <w:gridSpan w:val="6"/>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公用经费</w:t>
            </w:r>
          </w:p>
        </w:tc>
      </w:tr>
      <w:tr w:rsidR="0052058A">
        <w:trPr>
          <w:trHeight w:val="312"/>
          <w:jc w:val="center"/>
        </w:trPr>
        <w:tc>
          <w:tcPr>
            <w:tcW w:w="558" w:type="dxa"/>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59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47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63"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74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c>
          <w:tcPr>
            <w:tcW w:w="560"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科目编码</w:t>
            </w:r>
          </w:p>
        </w:tc>
        <w:tc>
          <w:tcPr>
            <w:tcW w:w="1788"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857"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52058A">
        <w:trPr>
          <w:trHeight w:val="312"/>
          <w:jc w:val="center"/>
        </w:trPr>
        <w:tc>
          <w:tcPr>
            <w:tcW w:w="558" w:type="dxa"/>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159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8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47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1763"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74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560"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1788"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c>
          <w:tcPr>
            <w:tcW w:w="857"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pacing w:after="0" w:line="240" w:lineRule="auto"/>
              <w:jc w:val="center"/>
              <w:rPr>
                <w:rFonts w:ascii="宋体" w:hAnsi="宋体" w:cs="宋体"/>
                <w:color w:val="000000"/>
                <w:sz w:val="22"/>
                <w:szCs w:val="22"/>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444.63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202.97</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债务利息及费用支出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基本工资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109.07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21.11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国内债务付息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津贴补贴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162.01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印刷费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47.68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30702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国外债务付息</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26.27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咨询费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15.48</w:t>
            </w: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伙食补助费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手续费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0.05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房屋建筑物购建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绩效工资</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水费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1.14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办公设备购置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4.73</w:t>
            </w: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机关事业单位基本养老保险缴费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42.72</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10.93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专用设备购置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职业年金缴费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邮电费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25.55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31005</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基础设施建设</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职工基本医疗保险缴费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14.94</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取暖费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12.11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大型修缮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公务员医疗补助缴费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30209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物业管理费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1.85</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信息网络及软件购置更新</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20"/>
                <w:szCs w:val="20"/>
              </w:rPr>
            </w:pPr>
            <w:r>
              <w:rPr>
                <w:rFonts w:ascii="宋体" w:hAnsi="宋体" w:cs="宋体" w:hint="eastAsia"/>
                <w:color w:val="000000"/>
                <w:sz w:val="20"/>
                <w:szCs w:val="20"/>
              </w:rPr>
              <w:t>10.75</w:t>
            </w: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其他社会保障缴费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1.26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差旅费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2.6</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物资储备</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住房公积金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25.69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30212</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因公出国（境）费用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31009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土地补偿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30114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30213</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维修（护）费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1.82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31010</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安置补助</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30199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其他工资福利支出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62.67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租赁费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地上附着物和青苗补偿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对个人和家庭的补助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100.17</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会议费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3.92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拆迁补偿</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30301</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离休费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培训费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0.64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31013</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30302</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退休费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公务接待费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2.08</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31019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其他交通工具购置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30303</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退职（役）费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30218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专用材料费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31021</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文物和陈列品购置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30304</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抚恤金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16.16</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30224</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被装购置费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31022</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无形资产购置</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30305</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生活补助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0.9</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30225</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专用燃料费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31099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其他资本性支出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30306</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救济费</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0.3</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30226</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劳务费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9.83</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30307</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医疗费补助</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30227</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委托业务费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0.4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39906</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赠与</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30308</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助学金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30228</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工会经费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3.29</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39907</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国家赔偿费用支出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0"/>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30309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奖励金</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82.81</w:t>
            </w: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30229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福利费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8.0</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39908</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对民间非营利组织和群众性自治组织补贴</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30310</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个人农业生产补贴</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30231</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公务用车运行维护费</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20.94</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39999</w:t>
            </w: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其他支出</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30399</w:t>
            </w: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其他对个人和家庭的补助支出</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30239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其他交通费用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22.51</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238"/>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30240</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税金及附加费用</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425"/>
          <w:jc w:val="center"/>
        </w:trPr>
        <w:tc>
          <w:tcPr>
            <w:tcW w:w="558"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30299</w:t>
            </w:r>
          </w:p>
        </w:tc>
        <w:tc>
          <w:tcPr>
            <w:tcW w:w="1763"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napToGrid w:val="0"/>
              <w:spacing w:after="0" w:line="240" w:lineRule="auto"/>
              <w:jc w:val="left"/>
              <w:textAlignment w:val="center"/>
              <w:rPr>
                <w:rFonts w:ascii="宋体" w:hAnsi="宋体" w:cs="宋体"/>
                <w:color w:val="000000"/>
                <w:sz w:val="16"/>
                <w:szCs w:val="16"/>
              </w:rPr>
            </w:pPr>
            <w:r>
              <w:rPr>
                <w:rFonts w:ascii="宋体" w:hAnsi="宋体" w:cs="宋体" w:hint="eastAsia"/>
                <w:color w:val="000000"/>
                <w:kern w:val="0"/>
                <w:sz w:val="16"/>
                <w:szCs w:val="16"/>
              </w:rPr>
              <w:t xml:space="preserve">  其他商品和服务支出</w:t>
            </w:r>
          </w:p>
        </w:tc>
        <w:tc>
          <w:tcPr>
            <w:tcW w:w="7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6.52</w:t>
            </w:r>
          </w:p>
        </w:tc>
        <w:tc>
          <w:tcPr>
            <w:tcW w:w="56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napToGrid w:val="0"/>
              <w:spacing w:after="0" w:line="240" w:lineRule="auto"/>
              <w:jc w:val="right"/>
              <w:rPr>
                <w:rFonts w:ascii="宋体" w:hAnsi="宋体" w:cs="宋体"/>
                <w:color w:val="000000"/>
                <w:sz w:val="20"/>
                <w:szCs w:val="20"/>
              </w:rPr>
            </w:pPr>
          </w:p>
        </w:tc>
      </w:tr>
      <w:tr w:rsidR="0052058A">
        <w:trPr>
          <w:trHeight w:val="317"/>
          <w:jc w:val="center"/>
        </w:trPr>
        <w:tc>
          <w:tcPr>
            <w:tcW w:w="2155" w:type="dxa"/>
            <w:gridSpan w:val="2"/>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人员经费合计</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544.8</w:t>
            </w:r>
          </w:p>
        </w:tc>
        <w:tc>
          <w:tcPr>
            <w:tcW w:w="5328" w:type="dxa"/>
            <w:gridSpan w:val="5"/>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center"/>
              <w:textAlignment w:val="center"/>
              <w:rPr>
                <w:rFonts w:ascii="宋体" w:hAnsi="宋体" w:cs="宋体"/>
                <w:color w:val="000000"/>
                <w:sz w:val="16"/>
                <w:szCs w:val="16"/>
              </w:rPr>
            </w:pPr>
            <w:r>
              <w:rPr>
                <w:rFonts w:ascii="宋体" w:hAnsi="宋体" w:cs="宋体" w:hint="eastAsia"/>
                <w:color w:val="000000"/>
                <w:kern w:val="0"/>
                <w:sz w:val="16"/>
                <w:szCs w:val="16"/>
              </w:rPr>
              <w:t>公用经费合计</w:t>
            </w:r>
          </w:p>
        </w:tc>
        <w:tc>
          <w:tcPr>
            <w:tcW w:w="857"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napToGrid w:val="0"/>
              <w:spacing w:after="0" w:line="240" w:lineRule="auto"/>
              <w:jc w:val="right"/>
              <w:rPr>
                <w:rFonts w:ascii="宋体" w:hAnsi="宋体" w:cs="宋体"/>
                <w:color w:val="000000"/>
                <w:sz w:val="16"/>
                <w:szCs w:val="16"/>
              </w:rPr>
            </w:pPr>
            <w:r>
              <w:rPr>
                <w:rFonts w:ascii="宋体" w:hAnsi="宋体" w:cs="宋体" w:hint="eastAsia"/>
                <w:color w:val="000000"/>
                <w:sz w:val="16"/>
                <w:szCs w:val="16"/>
              </w:rPr>
              <w:t>218.45</w:t>
            </w:r>
          </w:p>
        </w:tc>
      </w:tr>
      <w:tr w:rsidR="0052058A">
        <w:trPr>
          <w:trHeight w:val="277"/>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 xml:space="preserve">注：本表反映部门本年度一般公共预算财政拨款基本支出明细情况。        </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8800" w:type="dxa"/>
        <w:jc w:val="center"/>
        <w:tblLayout w:type="fixed"/>
        <w:tblCellMar>
          <w:left w:w="0" w:type="dxa"/>
          <w:right w:w="0" w:type="dxa"/>
        </w:tblCellMar>
        <w:tblLook w:val="04A0"/>
      </w:tblPr>
      <w:tblGrid>
        <w:gridCol w:w="1158"/>
        <w:gridCol w:w="1527"/>
        <w:gridCol w:w="1528"/>
        <w:gridCol w:w="1530"/>
        <w:gridCol w:w="1530"/>
        <w:gridCol w:w="1527"/>
      </w:tblGrid>
      <w:tr w:rsidR="0052058A">
        <w:trPr>
          <w:trHeight w:val="584"/>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一般公共预算财政拨款“三公”经费支出决算表</w:t>
            </w:r>
          </w:p>
        </w:tc>
      </w:tr>
      <w:tr w:rsidR="0052058A">
        <w:trPr>
          <w:trHeight w:val="347"/>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公开07表</w:t>
            </w:r>
          </w:p>
        </w:tc>
      </w:tr>
      <w:tr w:rsidR="0052058A">
        <w:trPr>
          <w:trHeight w:val="347"/>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left"/>
              <w:textAlignment w:val="center"/>
              <w:rPr>
                <w:rFonts w:ascii="宋体" w:hAnsi="宋体" w:cs="宋体"/>
                <w:color w:val="000000"/>
                <w:sz w:val="20"/>
                <w:szCs w:val="20"/>
              </w:rPr>
            </w:pPr>
            <w:r>
              <w:rPr>
                <w:rFonts w:ascii="宋体" w:hAnsi="宋体" w:cs="宋体" w:hint="eastAsia"/>
                <w:color w:val="000000"/>
                <w:kern w:val="0"/>
                <w:sz w:val="20"/>
                <w:szCs w:val="20"/>
              </w:rPr>
              <w:t>部门：廊坊市中国共产党大厂回族自治县委员会办公室（本级）</w:t>
            </w:r>
          </w:p>
        </w:tc>
        <w:tc>
          <w:tcPr>
            <w:tcW w:w="1527" w:type="dxa"/>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textAlignment w:val="center"/>
              <w:rPr>
                <w:rFonts w:ascii="宋体" w:hAnsi="宋体" w:cs="宋体"/>
                <w:color w:val="000000"/>
                <w:sz w:val="20"/>
                <w:szCs w:val="20"/>
              </w:rPr>
            </w:pPr>
            <w:r>
              <w:rPr>
                <w:rFonts w:ascii="宋体" w:hAnsi="宋体" w:cs="宋体" w:hint="eastAsia"/>
                <w:color w:val="000000"/>
                <w:kern w:val="0"/>
                <w:sz w:val="20"/>
                <w:szCs w:val="20"/>
              </w:rPr>
              <w:t>金额单位：万元</w:t>
            </w:r>
          </w:p>
        </w:tc>
      </w:tr>
      <w:tr w:rsidR="0052058A">
        <w:trPr>
          <w:trHeight w:val="482"/>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预算数</w:t>
            </w:r>
          </w:p>
        </w:tc>
      </w:tr>
      <w:tr w:rsidR="0052058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52058A">
        <w:trPr>
          <w:trHeight w:val="686"/>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r>
      <w:tr w:rsidR="0052058A">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52058A">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677.17</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25.2</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25.2</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651.97</w:t>
            </w:r>
          </w:p>
        </w:tc>
      </w:tr>
      <w:tr w:rsidR="0052058A">
        <w:trPr>
          <w:trHeight w:val="498"/>
          <w:jc w:val="center"/>
        </w:trPr>
        <w:tc>
          <w:tcPr>
            <w:tcW w:w="8800" w:type="dxa"/>
            <w:gridSpan w:val="6"/>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决算数</w:t>
            </w:r>
          </w:p>
        </w:tc>
      </w:tr>
      <w:tr w:rsidR="0052058A">
        <w:trPr>
          <w:trHeight w:val="435"/>
          <w:jc w:val="center"/>
        </w:trPr>
        <w:tc>
          <w:tcPr>
            <w:tcW w:w="1158"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因公出国（境）费</w:t>
            </w:r>
          </w:p>
        </w:tc>
        <w:tc>
          <w:tcPr>
            <w:tcW w:w="4588" w:type="dxa"/>
            <w:gridSpan w:val="3"/>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公务用车购置及运行费</w:t>
            </w:r>
          </w:p>
        </w:tc>
        <w:tc>
          <w:tcPr>
            <w:tcW w:w="152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公务接待费</w:t>
            </w:r>
          </w:p>
        </w:tc>
      </w:tr>
      <w:tr w:rsidR="0052058A">
        <w:trPr>
          <w:trHeight w:val="672"/>
          <w:jc w:val="center"/>
        </w:trPr>
        <w:tc>
          <w:tcPr>
            <w:tcW w:w="1158"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公务用车购置费</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公务用车运行费</w:t>
            </w:r>
          </w:p>
        </w:tc>
        <w:tc>
          <w:tcPr>
            <w:tcW w:w="152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r>
      <w:tr w:rsidR="0052058A">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7</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8</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9</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10</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11</w:t>
            </w:r>
          </w:p>
        </w:tc>
        <w:tc>
          <w:tcPr>
            <w:tcW w:w="15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12</w:t>
            </w:r>
          </w:p>
        </w:tc>
      </w:tr>
      <w:tr w:rsidR="0052058A">
        <w:trPr>
          <w:trHeight w:val="435"/>
          <w:jc w:val="center"/>
        </w:trPr>
        <w:tc>
          <w:tcPr>
            <w:tcW w:w="115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rPr>
                <w:rFonts w:ascii="宋体" w:hAnsi="宋体" w:cs="宋体"/>
                <w:color w:val="000000"/>
                <w:szCs w:val="21"/>
              </w:rPr>
            </w:pPr>
            <w:r>
              <w:rPr>
                <w:rFonts w:ascii="宋体" w:hAnsi="宋体" w:cs="宋体" w:hint="eastAsia"/>
                <w:color w:val="000000"/>
                <w:szCs w:val="21"/>
              </w:rPr>
              <w:t>243.03</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5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20.94</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20.94</w:t>
            </w:r>
          </w:p>
        </w:tc>
        <w:tc>
          <w:tcPr>
            <w:tcW w:w="152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222.09</w:t>
            </w:r>
          </w:p>
        </w:tc>
      </w:tr>
      <w:tr w:rsidR="0052058A">
        <w:trPr>
          <w:trHeight w:val="782"/>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rsidR="0052058A" w:rsidRDefault="0052058A">
      <w:pPr>
        <w:widowControl/>
        <w:spacing w:after="0" w:line="560" w:lineRule="exact"/>
        <w:jc w:val="left"/>
        <w:rPr>
          <w:rFonts w:ascii="仿宋_GB2312" w:eastAsia="仿宋_GB2312" w:hAnsiTheme="majorEastAsia"/>
          <w:b/>
          <w:sz w:val="28"/>
          <w:szCs w:val="28"/>
          <w:highlight w:val="yellow"/>
        </w:rPr>
        <w:sectPr w:rsidR="0052058A">
          <w:pgSz w:w="11906" w:h="16838"/>
          <w:pgMar w:top="2098" w:right="1474" w:bottom="1984" w:left="1588" w:header="851" w:footer="992" w:gutter="0"/>
          <w:cols w:space="0"/>
          <w:docGrid w:type="lines" w:linePitch="312"/>
        </w:sectPr>
      </w:pPr>
    </w:p>
    <w:tbl>
      <w:tblPr>
        <w:tblW w:w="8860" w:type="dxa"/>
        <w:tblLayout w:type="fixed"/>
        <w:tblCellMar>
          <w:left w:w="0" w:type="dxa"/>
          <w:right w:w="0" w:type="dxa"/>
        </w:tblCellMar>
        <w:tblLook w:val="04A0"/>
      </w:tblPr>
      <w:tblGrid>
        <w:gridCol w:w="296"/>
        <w:gridCol w:w="191"/>
        <w:gridCol w:w="479"/>
        <w:gridCol w:w="669"/>
        <w:gridCol w:w="376"/>
        <w:gridCol w:w="1166"/>
        <w:gridCol w:w="840"/>
        <w:gridCol w:w="1191"/>
        <w:gridCol w:w="1192"/>
        <w:gridCol w:w="1192"/>
        <w:gridCol w:w="1268"/>
      </w:tblGrid>
      <w:tr w:rsidR="0052058A">
        <w:trPr>
          <w:trHeight w:val="707"/>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黑体" w:eastAsia="黑体" w:hAnsi="宋体" w:cs="黑体"/>
                <w:color w:val="000000"/>
                <w:sz w:val="36"/>
                <w:szCs w:val="36"/>
              </w:rPr>
            </w:pPr>
            <w:r>
              <w:rPr>
                <w:rFonts w:ascii="黑体" w:eastAsia="黑体" w:hAnsi="宋体" w:cs="黑体" w:hint="eastAsia"/>
                <w:color w:val="000000"/>
                <w:kern w:val="0"/>
                <w:sz w:val="36"/>
                <w:szCs w:val="36"/>
              </w:rPr>
              <w:lastRenderedPageBreak/>
              <w:t>政府性基金预算财政拨款收入支出决算表</w:t>
            </w:r>
          </w:p>
        </w:tc>
      </w:tr>
      <w:tr w:rsidR="0052058A">
        <w:trPr>
          <w:trHeight w:val="315"/>
        </w:trPr>
        <w:tc>
          <w:tcPr>
            <w:tcW w:w="296"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公开08表</w:t>
            </w:r>
          </w:p>
        </w:tc>
      </w:tr>
      <w:tr w:rsidR="0052058A">
        <w:trPr>
          <w:trHeight w:val="411"/>
        </w:trPr>
        <w:tc>
          <w:tcPr>
            <w:tcW w:w="6400" w:type="dxa"/>
            <w:gridSpan w:val="9"/>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pacing w:after="0" w:line="240" w:lineRule="auto"/>
              <w:rPr>
                <w:rFonts w:ascii="Arial" w:hAnsi="Arial" w:cs="Arial"/>
                <w:color w:val="000000"/>
                <w:szCs w:val="21"/>
              </w:rPr>
            </w:pPr>
            <w:r>
              <w:rPr>
                <w:rFonts w:ascii="宋体" w:hAnsi="宋体" w:cs="宋体" w:hint="eastAsia"/>
                <w:color w:val="000000"/>
                <w:kern w:val="0"/>
                <w:szCs w:val="21"/>
              </w:rPr>
              <w:t>部门：廊坊市中国共产党大厂回族自治县委员会办公室（本级）</w:t>
            </w: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52058A">
        <w:trPr>
          <w:trHeight w:val="324"/>
        </w:trPr>
        <w:tc>
          <w:tcPr>
            <w:tcW w:w="2011" w:type="dxa"/>
            <w:gridSpan w:val="5"/>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1166"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年初结转和结余</w:t>
            </w:r>
          </w:p>
        </w:tc>
        <w:tc>
          <w:tcPr>
            <w:tcW w:w="840"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本年收入</w:t>
            </w:r>
          </w:p>
        </w:tc>
        <w:tc>
          <w:tcPr>
            <w:tcW w:w="3575" w:type="dxa"/>
            <w:gridSpan w:val="3"/>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本年支出</w:t>
            </w:r>
          </w:p>
        </w:tc>
        <w:tc>
          <w:tcPr>
            <w:tcW w:w="1268" w:type="dxa"/>
            <w:vMerge w:val="restart"/>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年末结转和结余</w:t>
            </w:r>
          </w:p>
        </w:tc>
      </w:tr>
      <w:tr w:rsidR="0052058A">
        <w:trPr>
          <w:trHeight w:val="324"/>
        </w:trPr>
        <w:tc>
          <w:tcPr>
            <w:tcW w:w="966" w:type="dxa"/>
            <w:gridSpan w:val="3"/>
            <w:vMerge w:val="restart"/>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功能分类科目编码</w:t>
            </w:r>
          </w:p>
        </w:tc>
        <w:tc>
          <w:tcPr>
            <w:tcW w:w="1045" w:type="dxa"/>
            <w:gridSpan w:val="2"/>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科目名称</w:t>
            </w: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小计</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基本支出</w:t>
            </w:r>
          </w:p>
        </w:tc>
        <w:tc>
          <w:tcPr>
            <w:tcW w:w="1192" w:type="dxa"/>
            <w:vMerge w:val="restart"/>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项目支出</w:t>
            </w: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r>
      <w:tr w:rsidR="0052058A">
        <w:trPr>
          <w:trHeight w:val="324"/>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r>
      <w:tr w:rsidR="0052058A">
        <w:trPr>
          <w:trHeight w:val="312"/>
        </w:trPr>
        <w:tc>
          <w:tcPr>
            <w:tcW w:w="966" w:type="dxa"/>
            <w:gridSpan w:val="3"/>
            <w:vMerge/>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045" w:type="dxa"/>
            <w:gridSpan w:val="2"/>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66"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840"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1"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192" w:type="dxa"/>
            <w:vMerge/>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c>
          <w:tcPr>
            <w:tcW w:w="1268" w:type="dxa"/>
            <w:vMerge/>
            <w:tcBorders>
              <w:top w:val="single" w:sz="4" w:space="0" w:color="000000"/>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52058A">
            <w:pPr>
              <w:widowControl/>
              <w:adjustRightInd w:val="0"/>
              <w:spacing w:after="0" w:line="240" w:lineRule="auto"/>
              <w:jc w:val="center"/>
              <w:rPr>
                <w:rFonts w:ascii="宋体" w:hAnsi="宋体" w:cs="宋体"/>
                <w:color w:val="000000"/>
                <w:szCs w:val="21"/>
              </w:rPr>
            </w:pPr>
          </w:p>
        </w:tc>
      </w:tr>
      <w:tr w:rsidR="0052058A">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52058A">
        <w:trPr>
          <w:trHeight w:val="324"/>
        </w:trPr>
        <w:tc>
          <w:tcPr>
            <w:tcW w:w="2011" w:type="dxa"/>
            <w:gridSpan w:val="5"/>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b/>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966" w:type="dxa"/>
            <w:gridSpan w:val="3"/>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pacing w:after="0" w:line="240" w:lineRule="auto"/>
              <w:jc w:val="right"/>
              <w:rPr>
                <w:rFonts w:ascii="宋体" w:hAnsi="宋体" w:cs="宋体"/>
                <w:color w:val="000000"/>
                <w:szCs w:val="21"/>
              </w:rPr>
            </w:pPr>
          </w:p>
        </w:tc>
      </w:tr>
      <w:tr w:rsidR="0052058A">
        <w:trPr>
          <w:trHeight w:val="324"/>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注：本部门本年度无政府性基金预算财政拨款收支及结转结余情况，按要求以空表列示。</w:t>
            </w:r>
          </w:p>
        </w:tc>
      </w:tr>
    </w:tbl>
    <w:p w:rsidR="0052058A" w:rsidRDefault="0052058A">
      <w:pPr>
        <w:widowControl/>
        <w:spacing w:after="0" w:line="560" w:lineRule="exact"/>
        <w:jc w:val="left"/>
        <w:rPr>
          <w:rFonts w:ascii="仿宋_GB2312" w:eastAsia="仿宋_GB2312" w:hAnsiTheme="majorEastAsia"/>
          <w:bCs/>
          <w:sz w:val="24"/>
        </w:rPr>
      </w:pPr>
    </w:p>
    <w:p w:rsidR="0052058A" w:rsidRDefault="0052058A">
      <w:pPr>
        <w:widowControl/>
        <w:spacing w:after="0" w:line="560" w:lineRule="exact"/>
        <w:jc w:val="left"/>
        <w:rPr>
          <w:rFonts w:ascii="仿宋_GB2312" w:eastAsia="仿宋_GB2312" w:hAnsiTheme="majorEastAsia"/>
          <w:bCs/>
          <w:sz w:val="24"/>
        </w:rPr>
        <w:sectPr w:rsidR="0052058A">
          <w:pgSz w:w="11906" w:h="16838"/>
          <w:pgMar w:top="2098" w:right="1474" w:bottom="1984" w:left="1588" w:header="851" w:footer="992" w:gutter="0"/>
          <w:cols w:space="0"/>
          <w:docGrid w:type="lines" w:linePitch="312"/>
        </w:sectPr>
      </w:pPr>
    </w:p>
    <w:tbl>
      <w:tblPr>
        <w:tblW w:w="8800" w:type="dxa"/>
        <w:tblLayout w:type="fixed"/>
        <w:tblCellMar>
          <w:left w:w="0" w:type="dxa"/>
          <w:right w:w="0" w:type="dxa"/>
        </w:tblCellMar>
        <w:tblLook w:val="04A0"/>
      </w:tblPr>
      <w:tblGrid>
        <w:gridCol w:w="442"/>
        <w:gridCol w:w="208"/>
        <w:gridCol w:w="504"/>
        <w:gridCol w:w="274"/>
        <w:gridCol w:w="894"/>
        <w:gridCol w:w="783"/>
        <w:gridCol w:w="252"/>
        <w:gridCol w:w="1646"/>
        <w:gridCol w:w="1447"/>
        <w:gridCol w:w="451"/>
        <w:gridCol w:w="1899"/>
      </w:tblGrid>
      <w:tr w:rsidR="0052058A">
        <w:trPr>
          <w:trHeight w:val="656"/>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国有资本经营预算财政拨款支出决算表</w:t>
            </w:r>
          </w:p>
        </w:tc>
      </w:tr>
      <w:tr w:rsidR="0052058A">
        <w:trPr>
          <w:trHeight w:val="335"/>
        </w:trPr>
        <w:tc>
          <w:tcPr>
            <w:tcW w:w="442"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3093"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spacing w:after="0" w:line="240" w:lineRule="auto"/>
              <w:rPr>
                <w:rFonts w:ascii="Arial" w:hAnsi="Arial" w:cs="Arial"/>
                <w:color w:val="000000"/>
                <w:sz w:val="22"/>
                <w:szCs w:val="22"/>
              </w:rPr>
            </w:pPr>
          </w:p>
        </w:tc>
        <w:tc>
          <w:tcPr>
            <w:tcW w:w="2350"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公开09表</w:t>
            </w:r>
          </w:p>
        </w:tc>
      </w:tr>
      <w:tr w:rsidR="0052058A">
        <w:trPr>
          <w:trHeight w:val="335"/>
        </w:trPr>
        <w:tc>
          <w:tcPr>
            <w:tcW w:w="6450" w:type="dxa"/>
            <w:gridSpan w:val="9"/>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rPr>
                <w:rFonts w:ascii="Arial" w:hAnsi="Arial" w:cs="Arial"/>
                <w:color w:val="000000"/>
                <w:sz w:val="22"/>
                <w:szCs w:val="22"/>
              </w:rPr>
            </w:pPr>
            <w:r>
              <w:rPr>
                <w:rFonts w:ascii="宋体" w:hAnsi="宋体" w:cs="宋体" w:hint="eastAsia"/>
                <w:color w:val="000000"/>
                <w:kern w:val="0"/>
                <w:sz w:val="22"/>
                <w:szCs w:val="22"/>
              </w:rPr>
              <w:t>部门：廊坊市中国共产党大厂回族自治县委员会办公室（本级）</w:t>
            </w:r>
          </w:p>
        </w:tc>
        <w:tc>
          <w:tcPr>
            <w:tcW w:w="2350"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spacing w:after="0" w:line="240" w:lineRule="auto"/>
              <w:jc w:val="right"/>
              <w:textAlignment w:val="center"/>
              <w:rPr>
                <w:rFonts w:ascii="宋体" w:hAnsi="宋体" w:cs="宋体"/>
                <w:color w:val="000000"/>
                <w:sz w:val="22"/>
                <w:szCs w:val="22"/>
              </w:rPr>
            </w:pPr>
            <w:r>
              <w:rPr>
                <w:rFonts w:ascii="宋体" w:hAnsi="宋体" w:cs="宋体" w:hint="eastAsia"/>
                <w:color w:val="000000"/>
                <w:kern w:val="0"/>
                <w:sz w:val="22"/>
                <w:szCs w:val="22"/>
              </w:rPr>
              <w:t>金额单位：万元</w:t>
            </w:r>
          </w:p>
        </w:tc>
      </w:tr>
      <w:tr w:rsidR="0052058A">
        <w:trPr>
          <w:trHeight w:val="358"/>
        </w:trPr>
        <w:tc>
          <w:tcPr>
            <w:tcW w:w="3105" w:type="dxa"/>
            <w:gridSpan w:val="6"/>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w:t>
            </w:r>
          </w:p>
        </w:tc>
        <w:tc>
          <w:tcPr>
            <w:tcW w:w="5695" w:type="dxa"/>
            <w:gridSpan w:val="5"/>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本年支出</w:t>
            </w:r>
          </w:p>
        </w:tc>
      </w:tr>
      <w:tr w:rsidR="0052058A">
        <w:trPr>
          <w:trHeight w:val="826"/>
        </w:trPr>
        <w:tc>
          <w:tcPr>
            <w:tcW w:w="1428" w:type="dxa"/>
            <w:gridSpan w:val="4"/>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功能分类科目编码</w:t>
            </w: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科目名称</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小计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基本支出</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项目支出</w:t>
            </w:r>
          </w:p>
        </w:tc>
      </w:tr>
      <w:tr w:rsidR="0052058A">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栏次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1</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2</w:t>
            </w: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3</w:t>
            </w:r>
          </w:p>
        </w:tc>
      </w:tr>
      <w:tr w:rsidR="0052058A">
        <w:trPr>
          <w:trHeight w:val="358"/>
        </w:trPr>
        <w:tc>
          <w:tcPr>
            <w:tcW w:w="3105" w:type="dxa"/>
            <w:gridSpan w:val="6"/>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spacing w:after="0" w:line="240" w:lineRule="auto"/>
              <w:jc w:val="center"/>
              <w:textAlignment w:val="center"/>
              <w:rPr>
                <w:rFonts w:ascii="宋体" w:hAnsi="宋体" w:cs="宋体"/>
                <w:color w:val="000000"/>
                <w:sz w:val="22"/>
                <w:szCs w:val="22"/>
              </w:rPr>
            </w:pPr>
            <w:r>
              <w:rPr>
                <w:rFonts w:ascii="宋体" w:hAnsi="宋体" w:cs="宋体" w:hint="eastAsia"/>
                <w:color w:val="000000"/>
                <w:kern w:val="0"/>
                <w:sz w:val="22"/>
                <w:szCs w:val="22"/>
              </w:rPr>
              <w:t>合计</w:t>
            </w: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46"/>
        </w:trPr>
        <w:tc>
          <w:tcPr>
            <w:tcW w:w="1428" w:type="dxa"/>
            <w:gridSpan w:val="4"/>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c>
          <w:tcPr>
            <w:tcW w:w="1899"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spacing w:after="0" w:line="240" w:lineRule="auto"/>
              <w:jc w:val="right"/>
              <w:rPr>
                <w:rFonts w:ascii="宋体" w:hAnsi="宋体" w:cs="宋体"/>
                <w:color w:val="000000"/>
                <w:sz w:val="22"/>
                <w:szCs w:val="22"/>
              </w:rPr>
            </w:pPr>
          </w:p>
        </w:tc>
      </w:tr>
      <w:tr w:rsidR="0052058A">
        <w:trPr>
          <w:trHeight w:val="358"/>
        </w:trPr>
        <w:tc>
          <w:tcPr>
            <w:tcW w:w="8800" w:type="dxa"/>
            <w:gridSpan w:val="11"/>
            <w:tcBorders>
              <w:top w:val="nil"/>
              <w:left w:val="nil"/>
              <w:bottom w:val="nil"/>
              <w:right w:val="nil"/>
            </w:tcBorders>
            <w:shd w:val="clear" w:color="auto" w:fill="auto"/>
            <w:tcMar>
              <w:top w:w="15" w:type="dxa"/>
              <w:left w:w="15" w:type="dxa"/>
              <w:right w:w="15" w:type="dxa"/>
            </w:tcMar>
            <w:vAlign w:val="center"/>
          </w:tcPr>
          <w:p w:rsidR="0052058A" w:rsidRDefault="00E019B9">
            <w:pPr>
              <w:widowControl/>
              <w:spacing w:after="0" w:line="240" w:lineRule="auto"/>
              <w:jc w:val="left"/>
              <w:textAlignment w:val="center"/>
              <w:rPr>
                <w:rFonts w:ascii="宋体" w:hAnsi="宋体" w:cs="宋体"/>
                <w:color w:val="000000"/>
                <w:sz w:val="22"/>
                <w:szCs w:val="22"/>
              </w:rPr>
            </w:pPr>
            <w:r>
              <w:rPr>
                <w:rFonts w:ascii="宋体" w:hAnsi="宋体" w:cs="宋体" w:hint="eastAsia"/>
                <w:color w:val="000000"/>
                <w:kern w:val="0"/>
                <w:sz w:val="22"/>
                <w:szCs w:val="22"/>
              </w:rPr>
              <w:t>注：本部门本年度无国有资本经营预算财政拨款支出情况，按要求以空表列示。</w:t>
            </w:r>
          </w:p>
        </w:tc>
      </w:tr>
    </w:tbl>
    <w:p w:rsidR="0052058A" w:rsidRDefault="0052058A">
      <w:pPr>
        <w:widowControl/>
        <w:spacing w:after="0" w:line="560" w:lineRule="exact"/>
        <w:jc w:val="left"/>
        <w:rPr>
          <w:rFonts w:ascii="仿宋_GB2312" w:eastAsia="仿宋_GB2312" w:hAnsiTheme="majorEastAsia"/>
          <w:bCs/>
          <w:sz w:val="24"/>
        </w:rPr>
      </w:pPr>
    </w:p>
    <w:p w:rsidR="0052058A" w:rsidRDefault="0052058A">
      <w:pPr>
        <w:widowControl/>
        <w:spacing w:after="0" w:line="560" w:lineRule="exact"/>
        <w:jc w:val="left"/>
        <w:rPr>
          <w:rFonts w:ascii="仿宋_GB2312" w:eastAsia="仿宋_GB2312" w:hAnsiTheme="majorEastAsia"/>
          <w:bCs/>
          <w:sz w:val="24"/>
        </w:rPr>
        <w:sectPr w:rsidR="0052058A">
          <w:pgSz w:w="11906" w:h="16838"/>
          <w:pgMar w:top="2098" w:right="1474" w:bottom="1984" w:left="1588" w:header="851" w:footer="992" w:gutter="0"/>
          <w:cols w:space="0"/>
          <w:docGrid w:type="lines" w:linePitch="312"/>
        </w:sectPr>
      </w:pPr>
    </w:p>
    <w:tbl>
      <w:tblPr>
        <w:tblW w:w="8940" w:type="dxa"/>
        <w:tblLayout w:type="fixed"/>
        <w:tblCellMar>
          <w:left w:w="0" w:type="dxa"/>
          <w:right w:w="0" w:type="dxa"/>
        </w:tblCellMar>
        <w:tblLook w:val="04A0"/>
      </w:tblPr>
      <w:tblGrid>
        <w:gridCol w:w="1901"/>
        <w:gridCol w:w="1203"/>
        <w:gridCol w:w="790"/>
        <w:gridCol w:w="362"/>
        <w:gridCol w:w="911"/>
        <w:gridCol w:w="241"/>
        <w:gridCol w:w="1032"/>
        <w:gridCol w:w="120"/>
        <w:gridCol w:w="1154"/>
        <w:gridCol w:w="1226"/>
      </w:tblGrid>
      <w:tr w:rsidR="0052058A">
        <w:trPr>
          <w:trHeight w:val="635"/>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黑体" w:eastAsia="黑体" w:hAnsi="宋体" w:cs="黑体"/>
                <w:color w:val="000000"/>
                <w:sz w:val="40"/>
                <w:szCs w:val="40"/>
              </w:rPr>
            </w:pPr>
            <w:r>
              <w:rPr>
                <w:rFonts w:ascii="黑体" w:eastAsia="黑体" w:hAnsi="宋体" w:cs="黑体" w:hint="eastAsia"/>
                <w:color w:val="000000"/>
                <w:kern w:val="0"/>
                <w:sz w:val="40"/>
                <w:szCs w:val="40"/>
              </w:rPr>
              <w:lastRenderedPageBreak/>
              <w:t>政府采购情况表</w:t>
            </w:r>
          </w:p>
        </w:tc>
      </w:tr>
      <w:tr w:rsidR="0052058A">
        <w:trPr>
          <w:trHeight w:val="326"/>
        </w:trPr>
        <w:tc>
          <w:tcPr>
            <w:tcW w:w="1901"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公开10表</w:t>
            </w:r>
          </w:p>
        </w:tc>
      </w:tr>
      <w:tr w:rsidR="0052058A">
        <w:trPr>
          <w:trHeight w:val="360"/>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部门：廊坊市中国共产党大厂回族自治县委员会办公室（本级）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textAlignment w:val="center"/>
              <w:rPr>
                <w:rFonts w:ascii="宋体" w:hAnsi="宋体" w:cs="宋体"/>
                <w:color w:val="000000"/>
                <w:szCs w:val="21"/>
              </w:rPr>
            </w:pPr>
            <w:r>
              <w:rPr>
                <w:rFonts w:ascii="宋体" w:hAnsi="宋体" w:cs="宋体" w:hint="eastAsia"/>
                <w:color w:val="000000"/>
                <w:kern w:val="0"/>
                <w:szCs w:val="21"/>
              </w:rPr>
              <w:t>金额单位：万元</w:t>
            </w:r>
          </w:p>
        </w:tc>
      </w:tr>
      <w:tr w:rsidR="0052058A">
        <w:trPr>
          <w:trHeight w:val="309"/>
        </w:trPr>
        <w:tc>
          <w:tcPr>
            <w:tcW w:w="1901"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single" w:sz="4" w:space="0" w:color="000000"/>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采购计划金额</w:t>
            </w:r>
          </w:p>
        </w:tc>
      </w:tr>
      <w:tr w:rsidR="0052058A">
        <w:trPr>
          <w:trHeight w:val="398"/>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52058A">
        <w:trPr>
          <w:trHeight w:val="473"/>
        </w:trPr>
        <w:tc>
          <w:tcPr>
            <w:tcW w:w="1901"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r>
      <w:tr w:rsidR="0052058A">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52058A">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129.82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50"/>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09"/>
        </w:trPr>
        <w:tc>
          <w:tcPr>
            <w:tcW w:w="1901" w:type="dxa"/>
            <w:vMerge w:val="restart"/>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项目</w:t>
            </w:r>
          </w:p>
        </w:tc>
        <w:tc>
          <w:tcPr>
            <w:tcW w:w="7039" w:type="dxa"/>
            <w:gridSpan w:val="9"/>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实际采购金额</w:t>
            </w:r>
          </w:p>
        </w:tc>
      </w:tr>
      <w:tr w:rsidR="0052058A">
        <w:trPr>
          <w:trHeight w:val="350"/>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总计</w:t>
            </w:r>
          </w:p>
        </w:tc>
        <w:tc>
          <w:tcPr>
            <w:tcW w:w="4610" w:type="dxa"/>
            <w:gridSpan w:val="7"/>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采购预算（财政性资金）</w:t>
            </w:r>
          </w:p>
        </w:tc>
        <w:tc>
          <w:tcPr>
            <w:tcW w:w="1226" w:type="dxa"/>
            <w:vMerge w:val="restart"/>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非财政性资金</w:t>
            </w:r>
          </w:p>
        </w:tc>
      </w:tr>
      <w:tr w:rsidR="0052058A">
        <w:trPr>
          <w:trHeight w:val="543"/>
        </w:trPr>
        <w:tc>
          <w:tcPr>
            <w:tcW w:w="1901" w:type="dxa"/>
            <w:vMerge/>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203"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合计</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一般公共预算</w:t>
            </w:r>
          </w:p>
        </w:tc>
        <w:tc>
          <w:tcPr>
            <w:tcW w:w="1152" w:type="dxa"/>
            <w:gridSpan w:val="2"/>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政府性基金预算</w:t>
            </w:r>
          </w:p>
        </w:tc>
        <w:tc>
          <w:tcPr>
            <w:tcW w:w="1154" w:type="dxa"/>
            <w:tcBorders>
              <w:top w:val="nil"/>
              <w:left w:val="nil"/>
              <w:bottom w:val="single" w:sz="4" w:space="0" w:color="000000"/>
              <w:right w:val="single" w:sz="4" w:space="0" w:color="000000"/>
            </w:tcBorders>
            <w:shd w:val="clear" w:color="auto" w:fill="auto"/>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其他资金</w:t>
            </w:r>
          </w:p>
        </w:tc>
        <w:tc>
          <w:tcPr>
            <w:tcW w:w="1226" w:type="dxa"/>
            <w:vMerge/>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center"/>
              <w:rPr>
                <w:rFonts w:ascii="宋体" w:hAnsi="宋体" w:cs="宋体"/>
                <w:color w:val="000000"/>
                <w:szCs w:val="21"/>
              </w:rPr>
            </w:pPr>
          </w:p>
        </w:tc>
      </w:tr>
      <w:tr w:rsidR="0052058A">
        <w:trPr>
          <w:trHeight w:val="309"/>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栏次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1</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2</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3</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4</w:t>
            </w: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5</w:t>
            </w: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6</w:t>
            </w:r>
          </w:p>
        </w:tc>
      </w:tr>
      <w:tr w:rsidR="0052058A">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合       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货物</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工程</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right"/>
              <w:rPr>
                <w:rFonts w:ascii="宋体" w:hAnsi="宋体" w:cs="宋体"/>
                <w:color w:val="000000"/>
                <w:szCs w:val="21"/>
              </w:rPr>
            </w:pPr>
            <w:r>
              <w:rPr>
                <w:rFonts w:ascii="宋体" w:hAnsi="宋体" w:cs="宋体" w:hint="eastAsia"/>
                <w:color w:val="000000"/>
                <w:szCs w:val="21"/>
              </w:rPr>
              <w:t>128.78</w:t>
            </w: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35"/>
        </w:trPr>
        <w:tc>
          <w:tcPr>
            <w:tcW w:w="190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center"/>
              <w:textAlignment w:val="center"/>
              <w:rPr>
                <w:rFonts w:ascii="宋体" w:hAnsi="宋体" w:cs="宋体"/>
                <w:color w:val="000000"/>
                <w:szCs w:val="21"/>
              </w:rPr>
            </w:pPr>
            <w:r>
              <w:rPr>
                <w:rFonts w:ascii="宋体" w:hAnsi="宋体" w:cs="宋体" w:hint="eastAsia"/>
                <w:color w:val="000000"/>
                <w:kern w:val="0"/>
                <w:szCs w:val="21"/>
              </w:rPr>
              <w:t>服务</w:t>
            </w:r>
          </w:p>
        </w:tc>
        <w:tc>
          <w:tcPr>
            <w:tcW w:w="1203"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sz="4" w:space="0" w:color="000000"/>
              <w:right w:val="single" w:sz="4" w:space="0" w:color="000000"/>
            </w:tcBorders>
            <w:shd w:val="clear" w:color="auto" w:fill="auto"/>
            <w:noWrap/>
            <w:tcMar>
              <w:top w:w="15" w:type="dxa"/>
              <w:left w:w="15" w:type="dxa"/>
              <w:right w:w="15" w:type="dxa"/>
            </w:tcMar>
            <w:vAlign w:val="center"/>
          </w:tcPr>
          <w:p w:rsidR="0052058A" w:rsidRDefault="0052058A">
            <w:pPr>
              <w:widowControl/>
              <w:adjustRightInd w:val="0"/>
              <w:snapToGrid w:val="0"/>
              <w:spacing w:after="0" w:line="240" w:lineRule="auto"/>
              <w:jc w:val="right"/>
              <w:rPr>
                <w:rFonts w:ascii="宋体" w:hAnsi="宋体" w:cs="宋体"/>
                <w:color w:val="000000"/>
                <w:szCs w:val="21"/>
              </w:rPr>
            </w:pPr>
          </w:p>
        </w:tc>
      </w:tr>
      <w:tr w:rsidR="0052058A">
        <w:trPr>
          <w:trHeight w:val="398"/>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rsidR="0052058A" w:rsidRDefault="00E019B9">
            <w:pPr>
              <w:widowControl/>
              <w:adjustRightInd w:val="0"/>
              <w:snapToGrid w:val="0"/>
              <w:spacing w:after="0" w:line="240" w:lineRule="auto"/>
              <w:jc w:val="left"/>
              <w:textAlignment w:val="center"/>
              <w:rPr>
                <w:rFonts w:ascii="宋体" w:hAnsi="宋体" w:cs="宋体"/>
                <w:color w:val="000000"/>
                <w:szCs w:val="21"/>
              </w:rPr>
            </w:pPr>
            <w:r>
              <w:rPr>
                <w:rFonts w:ascii="宋体" w:hAnsi="宋体" w:cs="宋体" w:hint="eastAsia"/>
                <w:color w:val="000000"/>
                <w:kern w:val="0"/>
                <w:szCs w:val="21"/>
              </w:rPr>
              <w:t xml:space="preserve">注：本表反映部门本年度纳入部门预算范围的政府采购预算及支出情况。     </w:t>
            </w:r>
          </w:p>
        </w:tc>
      </w:tr>
    </w:tbl>
    <w:p w:rsidR="0052058A" w:rsidRDefault="0052058A">
      <w:pPr>
        <w:widowControl/>
        <w:spacing w:after="0" w:line="560" w:lineRule="exact"/>
        <w:jc w:val="left"/>
        <w:rPr>
          <w:rFonts w:ascii="仿宋_GB2312" w:eastAsia="黑体" w:hAnsiTheme="majorEastAsia"/>
          <w:bCs/>
          <w:sz w:val="24"/>
        </w:rPr>
        <w:sectPr w:rsidR="0052058A">
          <w:pgSz w:w="11906" w:h="16838"/>
          <w:pgMar w:top="2098" w:right="1474" w:bottom="1984" w:left="1588" w:header="851" w:footer="992" w:gutter="0"/>
          <w:cols w:space="0"/>
          <w:docGrid w:type="lines" w:linePitch="312"/>
        </w:sect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E019B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第三部分</w:t>
      </w:r>
    </w:p>
    <w:p w:rsidR="0052058A" w:rsidRDefault="00E019B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部门决算情况说明</w:t>
      </w:r>
    </w:p>
    <w:p w:rsidR="0052058A" w:rsidRDefault="0052058A">
      <w:pPr>
        <w:rPr>
          <w:rFonts w:ascii="宋体" w:hAnsi="宋体" w:cs="ArialUnicodeMS"/>
          <w:color w:val="000000"/>
          <w:kern w:val="0"/>
        </w:rPr>
        <w:sectPr w:rsidR="0052058A">
          <w:pgSz w:w="11906" w:h="16838"/>
          <w:pgMar w:top="2098" w:right="1474" w:bottom="1984" w:left="1588" w:header="851" w:footer="992" w:gutter="0"/>
          <w:cols w:space="0"/>
          <w:docGrid w:type="lines" w:linePitch="312"/>
        </w:sectPr>
      </w:pPr>
    </w:p>
    <w:p w:rsidR="0052058A" w:rsidRDefault="00E019B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一、收入</w:t>
      </w:r>
      <w:r>
        <w:rPr>
          <w:rFonts w:ascii="黑体" w:eastAsia="黑体" w:hAnsiTheme="minorHAnsi" w:cs="黑体" w:hint="eastAsia"/>
          <w:b w:val="0"/>
          <w:bCs w:val="0"/>
          <w:kern w:val="0"/>
        </w:rPr>
        <w:t>支出</w:t>
      </w:r>
      <w:r>
        <w:rPr>
          <w:rFonts w:ascii="黑体" w:eastAsia="黑体" w:hint="eastAsia"/>
          <w:b w:val="0"/>
          <w:bCs w:val="0"/>
        </w:rPr>
        <w:t>决算总体情况说明</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本部门2018年度收支总计1678.79万元（含</w:t>
      </w:r>
      <w:r>
        <w:rPr>
          <w:rFonts w:ascii="仿宋_GB2312" w:eastAsia="仿宋_GB2312" w:hAnsi="仿宋" w:cs="仿宋_GB2312" w:hint="eastAsia"/>
          <w:kern w:val="0"/>
          <w:sz w:val="32"/>
          <w:szCs w:val="32"/>
        </w:rPr>
        <w:t>年初结转286.72万元</w:t>
      </w:r>
      <w:r>
        <w:rPr>
          <w:rFonts w:ascii="仿宋_GB2312" w:eastAsia="仿宋_GB2312" w:cs="DengXian-Regular" w:hint="eastAsia"/>
          <w:sz w:val="32"/>
          <w:szCs w:val="32"/>
        </w:rPr>
        <w:t>）</w:t>
      </w:r>
      <w:r>
        <w:rPr>
          <w:rFonts w:ascii="仿宋_GB2312" w:eastAsia="仿宋_GB2312" w:hAnsi="仿宋" w:cs="仿宋_GB2312" w:hint="eastAsia"/>
          <w:kern w:val="0"/>
          <w:sz w:val="32"/>
          <w:szCs w:val="32"/>
        </w:rPr>
        <w:t>，本年收入总计1392.07万元，本年支出总计1371.72万元，用事业基金弥补收支差额0万元，结余分配0万元，年末结转307.07万元。与2017年度决算数相比，本年收入减少1343.06万元，降低48.65%，主要原因为2017年决算数据中含有</w:t>
      </w:r>
      <w:r>
        <w:rPr>
          <w:rFonts w:ascii="仿宋_GB2312" w:eastAsia="仿宋_GB2312" w:hAnsi="仿宋" w:cs="宋体" w:hint="eastAsia"/>
          <w:kern w:val="0"/>
          <w:sz w:val="32"/>
          <w:szCs w:val="32"/>
        </w:rPr>
        <w:t>县委办、党史办、农工部、妇联、团委、机关工委、工商联、机要局、统战部9个未独立核算单位，</w:t>
      </w:r>
      <w:r>
        <w:rPr>
          <w:rFonts w:ascii="仿宋_GB2312" w:eastAsia="仿宋_GB2312" w:hint="eastAsia"/>
          <w:sz w:val="32"/>
          <w:szCs w:val="32"/>
        </w:rPr>
        <w:t>同县委办一起填报决算数据，决算公开同县委</w:t>
      </w:r>
      <w:proofErr w:type="gramStart"/>
      <w:r>
        <w:rPr>
          <w:rFonts w:ascii="仿宋_GB2312" w:eastAsia="仿宋_GB2312" w:hint="eastAsia"/>
          <w:sz w:val="32"/>
          <w:szCs w:val="32"/>
        </w:rPr>
        <w:t>办数据</w:t>
      </w:r>
      <w:proofErr w:type="gramEnd"/>
      <w:r>
        <w:rPr>
          <w:rFonts w:ascii="仿宋_GB2312" w:eastAsia="仿宋_GB2312" w:hint="eastAsia"/>
          <w:sz w:val="32"/>
          <w:szCs w:val="32"/>
        </w:rPr>
        <w:t>一起公开，2018年这些部门单独核算，自行填报决算数据</w:t>
      </w:r>
      <w:r>
        <w:rPr>
          <w:rFonts w:ascii="仿宋" w:eastAsia="仿宋" w:hAnsi="仿宋" w:cs="仿宋" w:hint="eastAsia"/>
          <w:sz w:val="32"/>
          <w:szCs w:val="32"/>
        </w:rPr>
        <w:t>。</w:t>
      </w:r>
    </w:p>
    <w:p w:rsidR="0052058A" w:rsidRDefault="00E019B9">
      <w:pPr>
        <w:pStyle w:val="2"/>
        <w:spacing w:before="0" w:after="0" w:line="580" w:lineRule="exact"/>
        <w:ind w:firstLineChars="200" w:firstLine="640"/>
        <w:rPr>
          <w:rFonts w:ascii="黑体" w:eastAsia="黑体"/>
          <w:b w:val="0"/>
          <w:bCs w:val="0"/>
        </w:rPr>
      </w:pPr>
      <w:r>
        <w:rPr>
          <w:rFonts w:ascii="黑体" w:eastAsia="黑体" w:hint="eastAsia"/>
          <w:b w:val="0"/>
          <w:bCs w:val="0"/>
        </w:rPr>
        <w:t>二、收入决算情况说明</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本部门2018年度本年收入合计1392.07万元，其中：财政拨款收入1392.07万元，占100%；事业收入0万元，占0%；经营收入0万元，占0%；其他收入0万元，占0%。如图所示：</w:t>
      </w:r>
    </w:p>
    <w:p w:rsidR="0052058A" w:rsidRDefault="00E019B9">
      <w:pPr>
        <w:adjustRightInd w:val="0"/>
        <w:snapToGrid w:val="0"/>
        <w:spacing w:line="584" w:lineRule="exact"/>
        <w:jc w:val="center"/>
        <w:rPr>
          <w:rFonts w:eastAsia="仿宋_GB2312"/>
          <w:sz w:val="32"/>
          <w:szCs w:val="32"/>
        </w:rPr>
      </w:pPr>
      <w:r>
        <w:rPr>
          <w:rFonts w:eastAsia="仿宋_GB2312"/>
          <w:sz w:val="32"/>
          <w:szCs w:val="32"/>
        </w:rPr>
        <w:t>图</w:t>
      </w:r>
      <w:r>
        <w:rPr>
          <w:rFonts w:eastAsia="仿宋_GB2312"/>
          <w:sz w:val="32"/>
          <w:szCs w:val="32"/>
        </w:rPr>
        <w:t>1</w:t>
      </w:r>
      <w:r>
        <w:rPr>
          <w:rFonts w:eastAsia="仿宋_GB2312"/>
          <w:sz w:val="32"/>
          <w:szCs w:val="32"/>
        </w:rPr>
        <w:t>：收入决算结构饼状图</w:t>
      </w:r>
    </w:p>
    <w:p w:rsidR="0052058A" w:rsidRDefault="00E019B9">
      <w:pPr>
        <w:adjustRightInd w:val="0"/>
        <w:snapToGrid w:val="0"/>
        <w:spacing w:after="0" w:line="240" w:lineRule="auto"/>
        <w:jc w:val="center"/>
        <w:rPr>
          <w:rFonts w:eastAsia="仿宋_GB2312"/>
          <w:sz w:val="32"/>
          <w:szCs w:val="32"/>
        </w:rPr>
      </w:pPr>
      <w:r>
        <w:rPr>
          <w:rFonts w:ascii="仿宋_GB2312" w:eastAsia="仿宋_GB2312" w:hAnsi="仿宋" w:cs="仿宋_GB2312"/>
          <w:noProof/>
          <w:kern w:val="0"/>
          <w:sz w:val="32"/>
          <w:szCs w:val="32"/>
        </w:rPr>
        <w:drawing>
          <wp:inline distT="0" distB="0" distL="0" distR="0">
            <wp:extent cx="4666615" cy="2018665"/>
            <wp:effectExtent l="0" t="0" r="635" b="63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2058A" w:rsidRDefault="0052058A">
      <w:pPr>
        <w:rPr>
          <w:rFonts w:ascii="黑体" w:eastAsia="黑体" w:hAnsiTheme="majorHAnsi" w:cstheme="majorBidi"/>
          <w:sz w:val="32"/>
          <w:szCs w:val="32"/>
        </w:rPr>
      </w:pPr>
    </w:p>
    <w:p w:rsidR="0052058A" w:rsidRDefault="00E019B9">
      <w:pPr>
        <w:pStyle w:val="2"/>
        <w:spacing w:before="0" w:after="0" w:line="580" w:lineRule="exact"/>
        <w:ind w:firstLineChars="200" w:firstLine="640"/>
        <w:rPr>
          <w:rFonts w:ascii="黑体" w:eastAsia="黑体"/>
          <w:b w:val="0"/>
          <w:bCs w:val="0"/>
        </w:rPr>
      </w:pPr>
      <w:r>
        <w:rPr>
          <w:rFonts w:ascii="黑体" w:eastAsia="黑体" w:hint="eastAsia"/>
          <w:b w:val="0"/>
          <w:bCs w:val="0"/>
        </w:rPr>
        <w:lastRenderedPageBreak/>
        <w:t>三、支出决算情况说明</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本部门2018年度本年支出合计1371.72万元，其中：基本支出763.25万元，占55.64%；项目支出608.47万元，占44.36%；经营支出0万元，占0%。如图所示：</w:t>
      </w:r>
    </w:p>
    <w:p w:rsidR="0052058A" w:rsidRDefault="00E019B9">
      <w:pPr>
        <w:adjustRightInd w:val="0"/>
        <w:snapToGrid w:val="0"/>
        <w:spacing w:after="0" w:line="580" w:lineRule="exact"/>
        <w:jc w:val="center"/>
        <w:rPr>
          <w:rFonts w:ascii="仿宋_GB2312" w:eastAsia="仿宋_GB2312" w:cs="DengXian-Regular"/>
          <w:sz w:val="32"/>
          <w:szCs w:val="32"/>
        </w:rPr>
      </w:pPr>
      <w:r>
        <w:rPr>
          <w:rFonts w:eastAsia="仿宋_GB2312"/>
          <w:sz w:val="32"/>
          <w:szCs w:val="32"/>
        </w:rPr>
        <w:t>图</w:t>
      </w:r>
      <w:r>
        <w:rPr>
          <w:rFonts w:eastAsia="仿宋_GB2312"/>
          <w:sz w:val="32"/>
          <w:szCs w:val="32"/>
        </w:rPr>
        <w:t>2</w:t>
      </w:r>
      <w:r>
        <w:rPr>
          <w:rFonts w:eastAsia="仿宋_GB2312"/>
          <w:sz w:val="32"/>
          <w:szCs w:val="32"/>
        </w:rPr>
        <w:t>：支出决算结构饼状图</w:t>
      </w:r>
    </w:p>
    <w:p w:rsidR="0052058A" w:rsidRDefault="00E019B9">
      <w:pPr>
        <w:adjustRightInd w:val="0"/>
        <w:snapToGrid w:val="0"/>
        <w:spacing w:after="0" w:line="240" w:lineRule="auto"/>
        <w:rPr>
          <w:rFonts w:ascii="仿宋_GB2312" w:eastAsia="仿宋_GB2312" w:cs="DengXian-Regular"/>
          <w:sz w:val="32"/>
          <w:szCs w:val="32"/>
        </w:rPr>
      </w:pPr>
      <w:r>
        <w:rPr>
          <w:rFonts w:ascii="仿宋_GB2312" w:eastAsia="仿宋_GB2312" w:hAnsi="仿宋" w:cs="仿宋_GB2312"/>
          <w:b/>
          <w:noProof/>
          <w:kern w:val="0"/>
          <w:sz w:val="32"/>
          <w:szCs w:val="32"/>
        </w:rPr>
        <w:drawing>
          <wp:inline distT="0" distB="0" distL="0" distR="0">
            <wp:extent cx="4742815" cy="1650365"/>
            <wp:effectExtent l="0" t="0" r="635" b="6985"/>
            <wp:docPr id="15"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2058A" w:rsidRDefault="0052058A">
      <w:pPr>
        <w:adjustRightInd w:val="0"/>
        <w:snapToGrid w:val="0"/>
        <w:spacing w:after="0" w:line="580" w:lineRule="exact"/>
        <w:ind w:firstLineChars="200" w:firstLine="640"/>
        <w:rPr>
          <w:rFonts w:ascii="仿宋_GB2312" w:eastAsia="仿宋_GB2312" w:cs="DengXian-Regular"/>
          <w:sz w:val="32"/>
          <w:szCs w:val="32"/>
        </w:rPr>
      </w:pPr>
    </w:p>
    <w:p w:rsidR="0052058A" w:rsidRDefault="00E019B9">
      <w:pPr>
        <w:pStyle w:val="2"/>
        <w:spacing w:before="0" w:after="0" w:line="580" w:lineRule="exact"/>
        <w:ind w:firstLineChars="200" w:firstLine="640"/>
        <w:rPr>
          <w:rFonts w:ascii="黑体" w:eastAsia="黑体"/>
          <w:b w:val="0"/>
          <w:bCs w:val="0"/>
        </w:rPr>
      </w:pPr>
      <w:r>
        <w:rPr>
          <w:rFonts w:ascii="黑体" w:eastAsia="黑体" w:hint="eastAsia"/>
          <w:b w:val="0"/>
          <w:bCs w:val="0"/>
        </w:rPr>
        <w:t>四、</w:t>
      </w:r>
      <w:r>
        <w:rPr>
          <w:rFonts w:ascii="黑体" w:eastAsia="黑体" w:hAnsiTheme="minorHAnsi" w:cs="黑体" w:hint="eastAsia"/>
          <w:b w:val="0"/>
          <w:bCs w:val="0"/>
          <w:kern w:val="0"/>
        </w:rPr>
        <w:t>财政</w:t>
      </w:r>
      <w:r>
        <w:rPr>
          <w:rFonts w:ascii="黑体" w:eastAsia="黑体" w:hint="eastAsia"/>
          <w:b w:val="0"/>
          <w:bCs w:val="0"/>
        </w:rPr>
        <w:t>拨款收入支出决算情况说明</w:t>
      </w:r>
    </w:p>
    <w:p w:rsidR="0052058A" w:rsidRDefault="00E019B9">
      <w:pPr>
        <w:spacing w:after="0" w:line="580" w:lineRule="exact"/>
        <w:ind w:firstLineChars="200" w:firstLine="643"/>
        <w:rPr>
          <w:rFonts w:ascii="楷体_GB2312" w:eastAsia="楷体_GB2312" w:cs="DengXian-Bold"/>
          <w:b/>
          <w:bCs/>
          <w:sz w:val="32"/>
          <w:szCs w:val="32"/>
        </w:rPr>
      </w:pPr>
      <w:r>
        <w:rPr>
          <w:rFonts w:ascii="楷体_GB2312" w:eastAsia="楷体_GB2312" w:cs="DengXian-Bold" w:hint="eastAsia"/>
          <w:b/>
          <w:bCs/>
          <w:sz w:val="32"/>
          <w:szCs w:val="32"/>
        </w:rPr>
        <w:t>（一）财政拨款收支与2017 年度决算对比情况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本部门2018年度形成的财政拨款收支均为一般公共预算财政拨款，其中一般公共预算财政拨款本年收入1392.07万元,比2017年度减少1339.06万元，降低49.03%，</w:t>
      </w:r>
      <w:r>
        <w:rPr>
          <w:rFonts w:ascii="仿宋_GB2312" w:eastAsia="仿宋_GB2312" w:hAnsi="仿宋" w:cs="仿宋_GB2312" w:hint="eastAsia"/>
          <w:kern w:val="0"/>
          <w:sz w:val="32"/>
          <w:szCs w:val="32"/>
        </w:rPr>
        <w:t>主要原因为2017年决算数据中含有</w:t>
      </w:r>
      <w:r>
        <w:rPr>
          <w:rFonts w:ascii="仿宋_GB2312" w:eastAsia="仿宋_GB2312" w:hAnsi="仿宋" w:cs="宋体" w:hint="eastAsia"/>
          <w:kern w:val="0"/>
          <w:sz w:val="32"/>
          <w:szCs w:val="32"/>
        </w:rPr>
        <w:t>县委办、党史办、农工部、妇联、团委、机关工委、工商联、机要局、统战部9个未独立核算单位，</w:t>
      </w:r>
      <w:r>
        <w:rPr>
          <w:rFonts w:ascii="仿宋_GB2312" w:eastAsia="仿宋_GB2312" w:hint="eastAsia"/>
          <w:sz w:val="32"/>
          <w:szCs w:val="32"/>
        </w:rPr>
        <w:t>同县委办一起填报决算数据，决算公开同县委</w:t>
      </w:r>
      <w:proofErr w:type="gramStart"/>
      <w:r>
        <w:rPr>
          <w:rFonts w:ascii="仿宋_GB2312" w:eastAsia="仿宋_GB2312" w:hint="eastAsia"/>
          <w:sz w:val="32"/>
          <w:szCs w:val="32"/>
        </w:rPr>
        <w:t>办数据</w:t>
      </w:r>
      <w:proofErr w:type="gramEnd"/>
      <w:r>
        <w:rPr>
          <w:rFonts w:ascii="仿宋_GB2312" w:eastAsia="仿宋_GB2312" w:hint="eastAsia"/>
          <w:sz w:val="32"/>
          <w:szCs w:val="32"/>
        </w:rPr>
        <w:t>一起公开，2018年这些部门单独核算，自行填报决算数据</w:t>
      </w:r>
      <w:r>
        <w:rPr>
          <w:rFonts w:ascii="仿宋_GB2312" w:eastAsia="仿宋_GB2312" w:cs="DengXian-Regular" w:hint="eastAsia"/>
          <w:sz w:val="32"/>
          <w:szCs w:val="32"/>
        </w:rPr>
        <w:t>；本年支出1370.26万元，减少1027.74万元，降低37.26%，主要是</w:t>
      </w:r>
      <w:r>
        <w:rPr>
          <w:rFonts w:ascii="仿宋_GB2312" w:eastAsia="仿宋_GB2312" w:hAnsi="仿宋" w:cs="仿宋_GB2312" w:hint="eastAsia"/>
          <w:kern w:val="0"/>
          <w:sz w:val="32"/>
          <w:szCs w:val="32"/>
        </w:rPr>
        <w:t>主要原因为2017年决算数据中含有</w:t>
      </w:r>
      <w:r>
        <w:rPr>
          <w:rFonts w:ascii="仿宋_GB2312" w:eastAsia="仿宋_GB2312" w:hAnsi="仿宋" w:cs="宋体" w:hint="eastAsia"/>
          <w:kern w:val="0"/>
          <w:sz w:val="32"/>
          <w:szCs w:val="32"/>
        </w:rPr>
        <w:t>县委办、党史办、农工部、妇联、团委、机关工委、</w:t>
      </w:r>
      <w:r>
        <w:rPr>
          <w:rFonts w:ascii="仿宋_GB2312" w:eastAsia="仿宋_GB2312" w:hAnsi="仿宋" w:cs="宋体" w:hint="eastAsia"/>
          <w:kern w:val="0"/>
          <w:sz w:val="32"/>
          <w:szCs w:val="32"/>
        </w:rPr>
        <w:lastRenderedPageBreak/>
        <w:t>工商联、机要局、统战部9个未独立核算单位，</w:t>
      </w:r>
      <w:r>
        <w:rPr>
          <w:rFonts w:ascii="仿宋_GB2312" w:eastAsia="仿宋_GB2312" w:hint="eastAsia"/>
          <w:sz w:val="32"/>
          <w:szCs w:val="32"/>
        </w:rPr>
        <w:t>同县委办一起填报决算数据，决算公开同县委</w:t>
      </w:r>
      <w:proofErr w:type="gramStart"/>
      <w:r>
        <w:rPr>
          <w:rFonts w:ascii="仿宋_GB2312" w:eastAsia="仿宋_GB2312" w:hint="eastAsia"/>
          <w:sz w:val="32"/>
          <w:szCs w:val="32"/>
        </w:rPr>
        <w:t>办数据</w:t>
      </w:r>
      <w:proofErr w:type="gramEnd"/>
      <w:r>
        <w:rPr>
          <w:rFonts w:ascii="仿宋_GB2312" w:eastAsia="仿宋_GB2312" w:hint="eastAsia"/>
          <w:sz w:val="32"/>
          <w:szCs w:val="32"/>
        </w:rPr>
        <w:t>一起公开，2018年这些部门单独核算，自行填报决算数据</w:t>
      </w:r>
      <w:r>
        <w:rPr>
          <w:rFonts w:ascii="仿宋" w:eastAsia="仿宋" w:hAnsi="仿宋" w:cs="仿宋" w:hint="eastAsia"/>
          <w:sz w:val="32"/>
          <w:szCs w:val="32"/>
        </w:rPr>
        <w:t>。</w:t>
      </w:r>
    </w:p>
    <w:p w:rsidR="0052058A" w:rsidRDefault="00E019B9">
      <w:pPr>
        <w:adjustRightInd w:val="0"/>
        <w:snapToGrid w:val="0"/>
        <w:spacing w:after="0" w:line="580" w:lineRule="exact"/>
        <w:jc w:val="center"/>
        <w:rPr>
          <w:rFonts w:ascii="仿宋_GB2312" w:eastAsia="仿宋_GB2312" w:cs="DengXian-Regular"/>
          <w:sz w:val="32"/>
          <w:szCs w:val="32"/>
        </w:rPr>
      </w:pPr>
      <w:r>
        <w:rPr>
          <w:rFonts w:eastAsia="仿宋_GB2312" w:hint="eastAsia"/>
          <w:sz w:val="32"/>
          <w:szCs w:val="32"/>
        </w:rPr>
        <w:t>图</w:t>
      </w:r>
      <w:r>
        <w:rPr>
          <w:rFonts w:eastAsia="仿宋_GB2312" w:hint="eastAsia"/>
          <w:sz w:val="32"/>
          <w:szCs w:val="32"/>
        </w:rPr>
        <w:t>3</w:t>
      </w:r>
      <w:r>
        <w:rPr>
          <w:rFonts w:eastAsia="仿宋_GB2312" w:hint="eastAsia"/>
          <w:sz w:val="32"/>
          <w:szCs w:val="32"/>
        </w:rPr>
        <w:t>：财政拨款收支情况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noProof/>
          <w:sz w:val="32"/>
          <w:szCs w:val="32"/>
        </w:rPr>
        <w:drawing>
          <wp:anchor distT="0" distB="0" distL="114300" distR="114300" simplePos="0" relativeHeight="251658240" behindDoc="1" locked="0" layoutInCell="1" allowOverlap="1">
            <wp:simplePos x="0" y="0"/>
            <wp:positionH relativeFrom="column">
              <wp:posOffset>1306195</wp:posOffset>
            </wp:positionH>
            <wp:positionV relativeFrom="paragraph">
              <wp:posOffset>6985</wp:posOffset>
            </wp:positionV>
            <wp:extent cx="2566670" cy="1524000"/>
            <wp:effectExtent l="4445" t="4445" r="19685" b="14605"/>
            <wp:wrapTight wrapText="bothSides">
              <wp:wrapPolygon edited="0">
                <wp:start x="-37" y="-63"/>
                <wp:lineTo x="-37" y="21537"/>
                <wp:lineTo x="21445" y="21537"/>
                <wp:lineTo x="21445" y="-63"/>
                <wp:lineTo x="-37" y="-63"/>
              </wp:wrapPolygon>
            </wp:wrapTight>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52058A" w:rsidRDefault="0052058A">
      <w:pPr>
        <w:adjustRightInd w:val="0"/>
        <w:snapToGrid w:val="0"/>
        <w:spacing w:after="0" w:line="580" w:lineRule="exact"/>
        <w:ind w:firstLineChars="200" w:firstLine="640"/>
        <w:rPr>
          <w:rFonts w:ascii="仿宋_GB2312" w:eastAsia="仿宋_GB2312" w:cs="DengXian-Regular"/>
          <w:sz w:val="32"/>
          <w:szCs w:val="32"/>
        </w:rPr>
      </w:pPr>
    </w:p>
    <w:p w:rsidR="0052058A" w:rsidRDefault="0052058A">
      <w:pPr>
        <w:adjustRightInd w:val="0"/>
        <w:snapToGrid w:val="0"/>
        <w:spacing w:after="0" w:line="580" w:lineRule="exact"/>
        <w:ind w:firstLineChars="200" w:firstLine="640"/>
        <w:rPr>
          <w:rFonts w:ascii="仿宋_GB2312" w:eastAsia="仿宋_GB2312" w:cs="DengXian-Regular"/>
          <w:sz w:val="32"/>
          <w:szCs w:val="32"/>
        </w:rPr>
      </w:pPr>
    </w:p>
    <w:p w:rsidR="0052058A" w:rsidRDefault="0052058A">
      <w:pPr>
        <w:spacing w:after="0" w:line="580" w:lineRule="exact"/>
        <w:rPr>
          <w:rFonts w:ascii="楷体_GB2312" w:eastAsia="楷体_GB2312" w:cs="DengXian-Bold"/>
          <w:b/>
          <w:bCs/>
          <w:sz w:val="32"/>
          <w:szCs w:val="32"/>
        </w:rPr>
      </w:pPr>
    </w:p>
    <w:p w:rsidR="0052058A" w:rsidRDefault="0052058A">
      <w:pPr>
        <w:spacing w:after="0" w:line="580" w:lineRule="exact"/>
        <w:ind w:firstLineChars="200" w:firstLine="643"/>
        <w:rPr>
          <w:rFonts w:ascii="楷体_GB2312" w:eastAsia="楷体_GB2312" w:cs="DengXian-Bold"/>
          <w:b/>
          <w:bCs/>
          <w:sz w:val="32"/>
          <w:szCs w:val="32"/>
        </w:rPr>
      </w:pPr>
    </w:p>
    <w:p w:rsidR="0052058A" w:rsidRDefault="00E019B9">
      <w:pPr>
        <w:spacing w:after="0" w:line="580" w:lineRule="exact"/>
        <w:ind w:firstLineChars="200" w:firstLine="643"/>
        <w:rPr>
          <w:rFonts w:ascii="仿宋_GB2312" w:eastAsia="仿宋_GB2312" w:cs="DengXian-Bold"/>
          <w:b/>
          <w:bCs/>
          <w:sz w:val="32"/>
          <w:szCs w:val="32"/>
        </w:rPr>
      </w:pPr>
      <w:r>
        <w:rPr>
          <w:rFonts w:ascii="楷体_GB2312" w:eastAsia="楷体_GB2312" w:cs="DengXian-Bold" w:hint="eastAsia"/>
          <w:b/>
          <w:bCs/>
          <w:sz w:val="32"/>
          <w:szCs w:val="32"/>
        </w:rPr>
        <w:t>（二）财政拨款收支与年初预算数对比情况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本部门2018年度一般公共预算财政拨款收入1392.07万元，完成年初预算的81.81%,比年初预算减少309.47万元，决算数小于预算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是因为接待费用第四季度在次年结算，预算指标退回财政；本年支出1370.26万元，完成年初预算的80.53%,比年初预算减少331.28万元，决算数小于预算</w:t>
      </w:r>
      <w:proofErr w:type="gramStart"/>
      <w:r>
        <w:rPr>
          <w:rFonts w:ascii="仿宋_GB2312" w:eastAsia="仿宋_GB2312" w:cs="DengXian-Regular" w:hint="eastAsia"/>
          <w:sz w:val="32"/>
          <w:szCs w:val="32"/>
        </w:rPr>
        <w:t>数主要</w:t>
      </w:r>
      <w:proofErr w:type="gramEnd"/>
      <w:r>
        <w:rPr>
          <w:rFonts w:ascii="仿宋_GB2312" w:eastAsia="仿宋_GB2312" w:cs="DengXian-Regular" w:hint="eastAsia"/>
          <w:sz w:val="32"/>
          <w:szCs w:val="32"/>
        </w:rPr>
        <w:t>是因为接待费用第四季度在次年结算，预算指标退回财政。</w:t>
      </w:r>
    </w:p>
    <w:p w:rsidR="0052058A" w:rsidRDefault="00E019B9">
      <w:pPr>
        <w:adjustRightInd w:val="0"/>
        <w:snapToGrid w:val="0"/>
        <w:spacing w:after="0" w:line="580" w:lineRule="exact"/>
        <w:jc w:val="center"/>
        <w:rPr>
          <w:rFonts w:ascii="仿宋_GB2312" w:eastAsia="仿宋_GB2312" w:cs="DengXian-Regular"/>
          <w:sz w:val="24"/>
        </w:rPr>
      </w:pPr>
      <w:r>
        <w:rPr>
          <w:rFonts w:eastAsia="仿宋_GB2312" w:hint="eastAsia"/>
          <w:sz w:val="32"/>
          <w:szCs w:val="32"/>
        </w:rPr>
        <w:t>图</w:t>
      </w:r>
      <w:r>
        <w:rPr>
          <w:rFonts w:eastAsia="仿宋_GB2312" w:hint="eastAsia"/>
          <w:sz w:val="32"/>
          <w:szCs w:val="32"/>
        </w:rPr>
        <w:t>4</w:t>
      </w:r>
      <w:r>
        <w:rPr>
          <w:rFonts w:eastAsia="仿宋_GB2312" w:hint="eastAsia"/>
          <w:sz w:val="32"/>
          <w:szCs w:val="32"/>
        </w:rPr>
        <w:t>：财政拨款收支预决算对比情况</w:t>
      </w:r>
    </w:p>
    <w:p w:rsidR="0052058A" w:rsidRDefault="00E019B9">
      <w:pPr>
        <w:adjustRightInd w:val="0"/>
        <w:snapToGrid w:val="0"/>
        <w:spacing w:after="0" w:line="580" w:lineRule="exact"/>
        <w:ind w:firstLineChars="200" w:firstLine="640"/>
        <w:rPr>
          <w:rFonts w:ascii="仿宋_GB2312" w:eastAsia="仿宋_GB2312" w:cs="DengXian-Regular"/>
          <w:sz w:val="32"/>
          <w:szCs w:val="32"/>
          <w:highlight w:val="yellow"/>
        </w:rPr>
      </w:pPr>
      <w:r>
        <w:rPr>
          <w:rFonts w:ascii="仿宋_GB2312" w:eastAsia="仿宋_GB2312" w:cs="DengXian-Regular" w:hint="eastAsia"/>
          <w:noProof/>
          <w:sz w:val="32"/>
          <w:szCs w:val="32"/>
          <w:highlight w:val="yellow"/>
        </w:rPr>
        <w:drawing>
          <wp:anchor distT="0" distB="0" distL="114300" distR="114300" simplePos="0" relativeHeight="251661312" behindDoc="1" locked="0" layoutInCell="1" allowOverlap="1">
            <wp:simplePos x="0" y="0"/>
            <wp:positionH relativeFrom="column">
              <wp:posOffset>767715</wp:posOffset>
            </wp:positionH>
            <wp:positionV relativeFrom="paragraph">
              <wp:posOffset>227965</wp:posOffset>
            </wp:positionV>
            <wp:extent cx="3403600" cy="1447800"/>
            <wp:effectExtent l="4445" t="4445" r="20955" b="14605"/>
            <wp:wrapTight wrapText="bothSides">
              <wp:wrapPolygon edited="0">
                <wp:start x="-28" y="-66"/>
                <wp:lineTo x="-28" y="21534"/>
                <wp:lineTo x="21491" y="21534"/>
                <wp:lineTo x="21491" y="-66"/>
                <wp:lineTo x="-28" y="-66"/>
              </wp:wrapPolygon>
            </wp:wrapTight>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52058A" w:rsidRDefault="0052058A">
      <w:pPr>
        <w:adjustRightInd w:val="0"/>
        <w:snapToGrid w:val="0"/>
        <w:spacing w:after="0" w:line="580" w:lineRule="exact"/>
        <w:ind w:firstLineChars="200" w:firstLine="640"/>
        <w:rPr>
          <w:rFonts w:ascii="仿宋_GB2312" w:eastAsia="仿宋_GB2312" w:cs="DengXian-Regular"/>
          <w:sz w:val="32"/>
          <w:szCs w:val="32"/>
          <w:highlight w:val="yellow"/>
        </w:rPr>
      </w:pPr>
    </w:p>
    <w:p w:rsidR="0052058A" w:rsidRDefault="0052058A">
      <w:pPr>
        <w:adjustRightInd w:val="0"/>
        <w:snapToGrid w:val="0"/>
        <w:spacing w:after="0" w:line="580" w:lineRule="exact"/>
        <w:ind w:firstLineChars="200" w:firstLine="640"/>
        <w:rPr>
          <w:rFonts w:ascii="仿宋_GB2312" w:eastAsia="仿宋_GB2312" w:cs="DengXian-Regular"/>
          <w:sz w:val="32"/>
          <w:szCs w:val="32"/>
          <w:highlight w:val="yellow"/>
        </w:rPr>
      </w:pPr>
    </w:p>
    <w:p w:rsidR="0052058A" w:rsidRDefault="0052058A">
      <w:pPr>
        <w:adjustRightInd w:val="0"/>
        <w:snapToGrid w:val="0"/>
        <w:spacing w:after="0" w:line="580" w:lineRule="exact"/>
        <w:ind w:firstLineChars="200" w:firstLine="640"/>
        <w:rPr>
          <w:rFonts w:ascii="仿宋_GB2312" w:eastAsia="仿宋_GB2312" w:cs="DengXian-Regular"/>
          <w:sz w:val="32"/>
          <w:szCs w:val="32"/>
          <w:highlight w:val="yellow"/>
        </w:rPr>
      </w:pPr>
    </w:p>
    <w:p w:rsidR="0052058A" w:rsidRDefault="0052058A">
      <w:pPr>
        <w:adjustRightInd w:val="0"/>
        <w:snapToGrid w:val="0"/>
        <w:spacing w:after="0" w:line="580" w:lineRule="exact"/>
        <w:rPr>
          <w:rFonts w:ascii="楷体_GB2312" w:eastAsia="楷体_GB2312" w:cs="DengXian-Bold"/>
          <w:b/>
          <w:bCs/>
          <w:sz w:val="32"/>
          <w:szCs w:val="32"/>
        </w:rPr>
      </w:pPr>
    </w:p>
    <w:p w:rsidR="0052058A" w:rsidRDefault="00E019B9">
      <w:pPr>
        <w:numPr>
          <w:ilvl w:val="0"/>
          <w:numId w:val="1"/>
        </w:num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财政拨款支出决算结构情况。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年度财政拨款支出1370.26万元，主要用于以下方面：一般公共服务（类）支出1296.59万元，占94.56%；公共安全（类）支出0万元，占0%；教育（类）支出0万元，占0%；科学技术（类）支出0万元，占 0%；社会保障和就业（类）支出 39.13万元，占2.86%；住房保障（类）支出20.26万元，占1.48%;医疗卫生与计划生育支出14.28万元，占1.1%。</w:t>
      </w:r>
    </w:p>
    <w:p w:rsidR="0052058A" w:rsidRDefault="00E019B9">
      <w:pPr>
        <w:adjustRightInd w:val="0"/>
        <w:snapToGrid w:val="0"/>
        <w:spacing w:after="0" w:line="580" w:lineRule="exact"/>
        <w:jc w:val="center"/>
        <w:rPr>
          <w:rFonts w:ascii="楷体_GB2312" w:eastAsia="楷体_GB2312" w:cs="DengXian-Bold"/>
          <w:b/>
          <w:bCs/>
          <w:sz w:val="32"/>
          <w:szCs w:val="32"/>
        </w:rPr>
      </w:pPr>
      <w:r>
        <w:rPr>
          <w:rFonts w:eastAsia="仿宋_GB2312" w:hint="eastAsia"/>
          <w:sz w:val="32"/>
          <w:szCs w:val="32"/>
        </w:rPr>
        <w:t>图</w:t>
      </w:r>
      <w:r>
        <w:rPr>
          <w:rFonts w:eastAsia="仿宋_GB2312" w:hint="eastAsia"/>
          <w:sz w:val="32"/>
          <w:szCs w:val="32"/>
        </w:rPr>
        <w:t>5</w:t>
      </w:r>
      <w:r>
        <w:rPr>
          <w:rFonts w:eastAsia="仿宋_GB2312" w:hint="eastAsia"/>
          <w:sz w:val="32"/>
          <w:szCs w:val="32"/>
        </w:rPr>
        <w:t>：财政拨款支出决算结构（按功能分类）</w:t>
      </w:r>
    </w:p>
    <w:p w:rsidR="0052058A" w:rsidRDefault="00E019B9">
      <w:pPr>
        <w:adjustRightInd w:val="0"/>
        <w:snapToGrid w:val="0"/>
        <w:spacing w:after="0" w:line="580" w:lineRule="exact"/>
        <w:rPr>
          <w:rFonts w:ascii="楷体_GB2312" w:eastAsia="楷体_GB2312" w:cs="DengXian-Bold"/>
          <w:b/>
          <w:bCs/>
          <w:sz w:val="32"/>
          <w:szCs w:val="32"/>
        </w:rPr>
      </w:pPr>
      <w:r>
        <w:rPr>
          <w:rFonts w:ascii="楷体_GB2312" w:eastAsia="楷体_GB2312" w:cs="DengXian-Bold" w:hint="eastAsia"/>
          <w:b/>
          <w:bCs/>
          <w:noProof/>
          <w:sz w:val="32"/>
          <w:szCs w:val="32"/>
        </w:rPr>
        <w:drawing>
          <wp:anchor distT="0" distB="0" distL="114300" distR="114300" simplePos="0" relativeHeight="251662336" behindDoc="1" locked="0" layoutInCell="1" allowOverlap="1">
            <wp:simplePos x="0" y="0"/>
            <wp:positionH relativeFrom="column">
              <wp:posOffset>833120</wp:posOffset>
            </wp:positionH>
            <wp:positionV relativeFrom="paragraph">
              <wp:posOffset>222250</wp:posOffset>
            </wp:positionV>
            <wp:extent cx="3851910" cy="2000885"/>
            <wp:effectExtent l="4445" t="4445" r="10795" b="13970"/>
            <wp:wrapTight wrapText="bothSides">
              <wp:wrapPolygon edited="0">
                <wp:start x="-25" y="-48"/>
                <wp:lineTo x="-25" y="21545"/>
                <wp:lineTo x="21554" y="21545"/>
                <wp:lineTo x="21554" y="-48"/>
                <wp:lineTo x="-25" y="-48"/>
              </wp:wrapPolygon>
            </wp:wrapTight>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52058A" w:rsidRDefault="0052058A">
      <w:pPr>
        <w:adjustRightInd w:val="0"/>
        <w:snapToGrid w:val="0"/>
        <w:spacing w:after="0" w:line="580" w:lineRule="exact"/>
        <w:rPr>
          <w:rFonts w:ascii="楷体_GB2312" w:eastAsia="楷体_GB2312" w:cs="DengXian-Bold"/>
          <w:b/>
          <w:bCs/>
          <w:sz w:val="32"/>
          <w:szCs w:val="32"/>
        </w:rPr>
      </w:pPr>
    </w:p>
    <w:p w:rsidR="0052058A" w:rsidRDefault="0052058A">
      <w:pPr>
        <w:adjustRightInd w:val="0"/>
        <w:snapToGrid w:val="0"/>
        <w:spacing w:after="0" w:line="580" w:lineRule="exact"/>
        <w:rPr>
          <w:rFonts w:ascii="楷体_GB2312" w:eastAsia="楷体_GB2312" w:cs="DengXian-Bold"/>
          <w:b/>
          <w:bCs/>
          <w:sz w:val="32"/>
          <w:szCs w:val="32"/>
        </w:rPr>
      </w:pPr>
    </w:p>
    <w:p w:rsidR="0052058A" w:rsidRDefault="0052058A">
      <w:pPr>
        <w:adjustRightInd w:val="0"/>
        <w:snapToGrid w:val="0"/>
        <w:spacing w:after="0" w:line="580" w:lineRule="exact"/>
        <w:ind w:leftChars="200" w:left="420"/>
        <w:rPr>
          <w:rFonts w:ascii="楷体_GB2312" w:eastAsia="楷体_GB2312" w:cs="DengXian-Bold"/>
          <w:b/>
          <w:bCs/>
          <w:sz w:val="32"/>
          <w:szCs w:val="32"/>
        </w:rPr>
      </w:pPr>
    </w:p>
    <w:p w:rsidR="0052058A" w:rsidRDefault="0052058A">
      <w:pPr>
        <w:adjustRightInd w:val="0"/>
        <w:snapToGrid w:val="0"/>
        <w:spacing w:after="0" w:line="580" w:lineRule="exact"/>
        <w:ind w:leftChars="200" w:left="420"/>
        <w:rPr>
          <w:rFonts w:ascii="楷体_GB2312" w:eastAsia="楷体_GB2312" w:cs="DengXian-Bold"/>
          <w:b/>
          <w:bCs/>
          <w:sz w:val="32"/>
          <w:szCs w:val="32"/>
        </w:rPr>
      </w:pPr>
    </w:p>
    <w:p w:rsidR="0052058A" w:rsidRDefault="0052058A">
      <w:pPr>
        <w:adjustRightInd w:val="0"/>
        <w:snapToGrid w:val="0"/>
        <w:spacing w:after="0" w:line="580" w:lineRule="exact"/>
        <w:ind w:leftChars="200" w:left="420"/>
        <w:rPr>
          <w:rFonts w:ascii="楷体_GB2312" w:eastAsia="楷体_GB2312" w:cs="DengXian-Bold"/>
          <w:b/>
          <w:bCs/>
          <w:sz w:val="32"/>
          <w:szCs w:val="32"/>
        </w:rPr>
      </w:pPr>
    </w:p>
    <w:p w:rsidR="0052058A" w:rsidRDefault="0052058A">
      <w:pPr>
        <w:adjustRightInd w:val="0"/>
        <w:snapToGrid w:val="0"/>
        <w:spacing w:after="0" w:line="580" w:lineRule="exact"/>
        <w:ind w:leftChars="200" w:left="420"/>
        <w:rPr>
          <w:rFonts w:ascii="楷体_GB2312" w:eastAsia="楷体_GB2312" w:cs="DengXian-Bold"/>
          <w:b/>
          <w:bCs/>
          <w:sz w:val="32"/>
          <w:szCs w:val="32"/>
        </w:rPr>
      </w:pPr>
    </w:p>
    <w:p w:rsidR="0052058A" w:rsidRDefault="00E019B9">
      <w:pPr>
        <w:adjustRightInd w:val="0"/>
        <w:snapToGrid w:val="0"/>
        <w:spacing w:after="0" w:line="580" w:lineRule="exact"/>
        <w:ind w:leftChars="200" w:left="420"/>
        <w:rPr>
          <w:rFonts w:ascii="楷体_GB2312" w:eastAsia="楷体_GB2312" w:cs="DengXian-Bold"/>
          <w:b/>
          <w:bCs/>
          <w:sz w:val="32"/>
          <w:szCs w:val="32"/>
        </w:rPr>
      </w:pPr>
      <w:r>
        <w:rPr>
          <w:rFonts w:ascii="楷体_GB2312" w:eastAsia="楷体_GB2312" w:cs="DengXian-Bold" w:hint="eastAsia"/>
          <w:b/>
          <w:bCs/>
          <w:sz w:val="32"/>
          <w:szCs w:val="32"/>
        </w:rPr>
        <w:t>（四）一般公共预算财政拨款基本支出决算情况说明</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2018 年度一般公共预算财政拨款基本支出763.25万元，其中：人员经费 544.8万元，主要包括基本工资、津贴补贴、奖金、伙食补助费、绩效工资、机关事业单位基本养老保险缴费、职业年金缴费、职工基本医疗保险缴费、公务员医疗补助缴费、</w:t>
      </w:r>
      <w:r>
        <w:rPr>
          <w:rFonts w:ascii="仿宋_GB2312" w:eastAsia="仿宋_GB2312" w:cs="DengXian-Regular" w:hint="eastAsia"/>
          <w:sz w:val="32"/>
          <w:szCs w:val="32"/>
        </w:rPr>
        <w:lastRenderedPageBreak/>
        <w:t>住房公积金、医疗费、其他社会保障缴费、其他工资福利支出、离休费、退休费、抚恤金、生活补助、医疗费补助、奖励金、其他对个人和家庭的补助支出等；公用经费218.45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rsidR="0052058A" w:rsidRDefault="00E019B9">
      <w:pPr>
        <w:pStyle w:val="2"/>
        <w:spacing w:before="0" w:after="0" w:line="580" w:lineRule="exact"/>
        <w:ind w:firstLineChars="200" w:firstLine="640"/>
        <w:rPr>
          <w:rFonts w:ascii="黑体" w:eastAsia="黑体"/>
          <w:b w:val="0"/>
          <w:bCs w:val="0"/>
        </w:rPr>
      </w:pPr>
      <w:r>
        <w:rPr>
          <w:rFonts w:ascii="黑体" w:eastAsia="黑体" w:hint="eastAsia"/>
          <w:b w:val="0"/>
          <w:bCs w:val="0"/>
        </w:rPr>
        <w:t>五、一般公共预算财政拨款“三公” 经费支出决算情况说明</w:t>
      </w:r>
    </w:p>
    <w:p w:rsidR="0052058A" w:rsidRDefault="00E019B9">
      <w:pPr>
        <w:adjustRightInd w:val="0"/>
        <w:snapToGrid w:val="0"/>
        <w:spacing w:line="584" w:lineRule="exact"/>
        <w:ind w:firstLineChars="200" w:firstLine="640"/>
        <w:rPr>
          <w:rFonts w:eastAsia="仿宋_GB2312"/>
          <w:sz w:val="32"/>
          <w:szCs w:val="32"/>
          <w:highlight w:val="yellow"/>
        </w:rPr>
      </w:pP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年度一般公共预算财政拨款</w:t>
      </w:r>
      <w:r>
        <w:rPr>
          <w:rFonts w:eastAsia="仿宋_GB2312"/>
          <w:sz w:val="32"/>
          <w:szCs w:val="32"/>
        </w:rPr>
        <w:t>“</w:t>
      </w:r>
      <w:r>
        <w:rPr>
          <w:rFonts w:eastAsia="仿宋_GB2312"/>
          <w:sz w:val="32"/>
          <w:szCs w:val="32"/>
        </w:rPr>
        <w:t>三公</w:t>
      </w:r>
      <w:r>
        <w:rPr>
          <w:rFonts w:eastAsia="仿宋_GB2312"/>
          <w:sz w:val="32"/>
          <w:szCs w:val="32"/>
        </w:rPr>
        <w:t>”</w:t>
      </w:r>
      <w:r>
        <w:rPr>
          <w:rFonts w:eastAsia="仿宋_GB2312"/>
          <w:sz w:val="32"/>
          <w:szCs w:val="32"/>
        </w:rPr>
        <w:t>经费支出共计</w:t>
      </w:r>
      <w:r>
        <w:rPr>
          <w:rFonts w:eastAsia="仿宋_GB2312" w:hint="eastAsia"/>
          <w:sz w:val="32"/>
          <w:szCs w:val="32"/>
        </w:rPr>
        <w:t>243.03</w:t>
      </w:r>
      <w:r>
        <w:rPr>
          <w:rFonts w:eastAsia="仿宋_GB2312"/>
          <w:sz w:val="32"/>
          <w:szCs w:val="32"/>
        </w:rPr>
        <w:t>万元，</w:t>
      </w:r>
      <w:r>
        <w:rPr>
          <w:rFonts w:eastAsia="仿宋_GB2312" w:hint="eastAsia"/>
          <w:sz w:val="32"/>
          <w:szCs w:val="32"/>
        </w:rPr>
        <w:t>比</w:t>
      </w:r>
      <w:r>
        <w:rPr>
          <w:rFonts w:eastAsia="仿宋_GB2312"/>
          <w:sz w:val="32"/>
          <w:szCs w:val="32"/>
        </w:rPr>
        <w:t>年初预算</w:t>
      </w:r>
      <w:r>
        <w:rPr>
          <w:rFonts w:eastAsia="仿宋_GB2312" w:hint="eastAsia"/>
          <w:sz w:val="32"/>
          <w:szCs w:val="32"/>
        </w:rPr>
        <w:t>减</w:t>
      </w:r>
      <w:r>
        <w:rPr>
          <w:rFonts w:eastAsia="仿宋_GB2312"/>
          <w:sz w:val="32"/>
          <w:szCs w:val="32"/>
        </w:rPr>
        <w:t>少</w:t>
      </w:r>
      <w:r>
        <w:rPr>
          <w:rFonts w:eastAsia="仿宋_GB2312" w:hint="eastAsia"/>
          <w:sz w:val="32"/>
          <w:szCs w:val="32"/>
        </w:rPr>
        <w:t>434.14</w:t>
      </w:r>
      <w:r>
        <w:rPr>
          <w:rFonts w:eastAsia="仿宋_GB2312"/>
          <w:sz w:val="32"/>
          <w:szCs w:val="32"/>
        </w:rPr>
        <w:t>万元，降低</w:t>
      </w:r>
      <w:r>
        <w:rPr>
          <w:rFonts w:eastAsia="仿宋_GB2312" w:hint="eastAsia"/>
          <w:sz w:val="32"/>
          <w:szCs w:val="32"/>
        </w:rPr>
        <w:t>64.11</w:t>
      </w:r>
      <w:r>
        <w:rPr>
          <w:rFonts w:eastAsia="仿宋_GB2312"/>
          <w:sz w:val="32"/>
          <w:szCs w:val="32"/>
        </w:rPr>
        <w:t>%</w:t>
      </w:r>
      <w:r>
        <w:rPr>
          <w:rFonts w:eastAsia="仿宋_GB2312"/>
          <w:sz w:val="32"/>
          <w:szCs w:val="32"/>
        </w:rPr>
        <w:t>，主要是</w:t>
      </w:r>
      <w:r>
        <w:rPr>
          <w:rFonts w:eastAsia="仿宋_GB2312" w:hint="eastAsia"/>
          <w:sz w:val="32"/>
          <w:szCs w:val="32"/>
        </w:rPr>
        <w:t>公务接待费用发生第四季度费用次年结算，未产生费用</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13.88</w:t>
      </w:r>
      <w:r>
        <w:rPr>
          <w:rFonts w:eastAsia="仿宋_GB2312"/>
          <w:sz w:val="32"/>
          <w:szCs w:val="32"/>
        </w:rPr>
        <w:t>万元，增长</w:t>
      </w:r>
      <w:r>
        <w:rPr>
          <w:rFonts w:eastAsia="仿宋_GB2312" w:hint="eastAsia"/>
          <w:sz w:val="32"/>
          <w:szCs w:val="32"/>
        </w:rPr>
        <w:t>6.06</w:t>
      </w:r>
      <w:r>
        <w:rPr>
          <w:rFonts w:eastAsia="仿宋_GB2312"/>
          <w:sz w:val="32"/>
          <w:szCs w:val="32"/>
        </w:rPr>
        <w:t>%</w:t>
      </w:r>
      <w:r>
        <w:rPr>
          <w:rFonts w:eastAsia="仿宋_GB2312"/>
          <w:sz w:val="32"/>
          <w:szCs w:val="32"/>
        </w:rPr>
        <w:t>，主要是</w:t>
      </w:r>
      <w:r>
        <w:rPr>
          <w:rFonts w:eastAsia="仿宋_GB2312" w:hint="eastAsia"/>
          <w:sz w:val="32"/>
          <w:szCs w:val="32"/>
        </w:rPr>
        <w:t>接待费用增加</w:t>
      </w:r>
      <w:r>
        <w:rPr>
          <w:rFonts w:eastAsia="仿宋_GB2312"/>
          <w:sz w:val="32"/>
          <w:szCs w:val="32"/>
        </w:rPr>
        <w:t>。具体情况如下：</w:t>
      </w:r>
    </w:p>
    <w:p w:rsidR="0052058A" w:rsidRDefault="00E019B9">
      <w:pPr>
        <w:adjustRightInd w:val="0"/>
        <w:snapToGrid w:val="0"/>
        <w:spacing w:line="584" w:lineRule="exact"/>
        <w:ind w:firstLineChars="200" w:firstLine="643"/>
        <w:rPr>
          <w:rFonts w:eastAsia="仿宋_GB2312"/>
          <w:sz w:val="32"/>
          <w:szCs w:val="32"/>
          <w:highlight w:val="yellow"/>
        </w:rPr>
      </w:pPr>
      <w:r>
        <w:rPr>
          <w:rFonts w:eastAsia="楷体_GB2312"/>
          <w:b/>
          <w:bCs/>
          <w:sz w:val="32"/>
          <w:szCs w:val="32"/>
        </w:rPr>
        <w:t>（一）因公出国（境）费支出</w:t>
      </w:r>
      <w:r>
        <w:rPr>
          <w:rFonts w:eastAsia="楷体_GB2312" w:hint="eastAsia"/>
          <w:b/>
          <w:bCs/>
          <w:sz w:val="32"/>
          <w:szCs w:val="32"/>
        </w:rPr>
        <w:t>0</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w:t>
      </w:r>
      <w:r>
        <w:rPr>
          <w:rFonts w:ascii="仿宋_GB2312" w:eastAsia="仿宋_GB2312" w:cs="DengXian-Regular" w:hint="eastAsia"/>
          <w:sz w:val="32"/>
          <w:szCs w:val="32"/>
        </w:rPr>
        <w:t>因公出国（境）团组0个、共0人，未发生</w:t>
      </w:r>
      <w:r>
        <w:rPr>
          <w:rFonts w:eastAsia="仿宋_GB2312"/>
          <w:sz w:val="32"/>
          <w:szCs w:val="32"/>
        </w:rPr>
        <w:t>因公出国（境）费</w:t>
      </w:r>
      <w:r>
        <w:rPr>
          <w:rFonts w:eastAsia="仿宋_GB2312" w:hint="eastAsia"/>
          <w:sz w:val="32"/>
          <w:szCs w:val="32"/>
        </w:rPr>
        <w:t>用支出</w:t>
      </w:r>
      <w:r>
        <w:rPr>
          <w:rFonts w:ascii="仿宋_GB2312" w:eastAsia="仿宋_GB2312" w:cs="DengXian-Regular" w:hint="eastAsia"/>
          <w:sz w:val="32"/>
          <w:szCs w:val="32"/>
        </w:rPr>
        <w:t>。</w:t>
      </w:r>
      <w:r>
        <w:rPr>
          <w:rFonts w:eastAsia="仿宋_GB2312"/>
          <w:sz w:val="32"/>
          <w:szCs w:val="32"/>
        </w:rPr>
        <w:t>因公出国（境）费支出</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1.6</w:t>
      </w:r>
      <w:r>
        <w:rPr>
          <w:rFonts w:eastAsia="仿宋_GB2312"/>
          <w:sz w:val="32"/>
          <w:szCs w:val="32"/>
        </w:rPr>
        <w:t>万元，降低</w:t>
      </w:r>
      <w:r>
        <w:rPr>
          <w:rFonts w:eastAsia="仿宋_GB2312" w:hint="eastAsia"/>
          <w:sz w:val="32"/>
          <w:szCs w:val="32"/>
        </w:rPr>
        <w:t>100</w:t>
      </w:r>
      <w:r>
        <w:rPr>
          <w:rFonts w:eastAsia="仿宋_GB2312"/>
          <w:sz w:val="32"/>
          <w:szCs w:val="32"/>
        </w:rPr>
        <w:t>%</w:t>
      </w:r>
      <w:r>
        <w:rPr>
          <w:rFonts w:eastAsia="仿宋_GB2312"/>
          <w:sz w:val="32"/>
          <w:szCs w:val="32"/>
        </w:rPr>
        <w:t>，</w:t>
      </w:r>
      <w:r>
        <w:rPr>
          <w:rFonts w:ascii="仿宋_GB2312" w:eastAsia="仿宋_GB2312" w:hAnsi="仿宋" w:hint="eastAsia"/>
          <w:sz w:val="32"/>
          <w:szCs w:val="32"/>
        </w:rPr>
        <w:t>原因是</w:t>
      </w:r>
      <w:r>
        <w:rPr>
          <w:rFonts w:ascii="仿宋_GB2312" w:eastAsia="仿宋_GB2312" w:hint="eastAsia"/>
          <w:sz w:val="32"/>
          <w:szCs w:val="32"/>
        </w:rPr>
        <w:t>不可预见性因素</w:t>
      </w:r>
      <w:r>
        <w:rPr>
          <w:rFonts w:eastAsia="仿宋_GB2312"/>
          <w:sz w:val="32"/>
          <w:szCs w:val="32"/>
        </w:rPr>
        <w:t>。</w:t>
      </w:r>
    </w:p>
    <w:p w:rsidR="0052058A" w:rsidRDefault="00E019B9">
      <w:pPr>
        <w:widowControl/>
        <w:spacing w:line="540" w:lineRule="exact"/>
        <w:ind w:firstLineChars="200" w:firstLine="643"/>
        <w:jc w:val="left"/>
        <w:rPr>
          <w:rFonts w:eastAsia="仿宋_GB2312"/>
          <w:b/>
          <w:bCs/>
          <w:sz w:val="32"/>
          <w:szCs w:val="32"/>
        </w:rPr>
      </w:pPr>
      <w:r>
        <w:rPr>
          <w:rFonts w:eastAsia="楷体_GB2312"/>
          <w:b/>
          <w:bCs/>
          <w:sz w:val="32"/>
          <w:szCs w:val="32"/>
        </w:rPr>
        <w:lastRenderedPageBreak/>
        <w:t>（二）公务用车购置及运行维护费支出</w:t>
      </w:r>
      <w:r>
        <w:rPr>
          <w:rFonts w:eastAsia="楷体_GB2312" w:hint="eastAsia"/>
          <w:b/>
          <w:bCs/>
          <w:sz w:val="32"/>
          <w:szCs w:val="32"/>
        </w:rPr>
        <w:t>20.94</w:t>
      </w:r>
      <w:r>
        <w:rPr>
          <w:rFonts w:eastAsia="楷体_GB2312"/>
          <w:b/>
          <w:bCs/>
          <w:sz w:val="32"/>
          <w:szCs w:val="32"/>
        </w:rPr>
        <w:t>万元。</w:t>
      </w:r>
      <w:r>
        <w:rPr>
          <w:rFonts w:ascii="仿宋_GB2312" w:eastAsia="仿宋_GB2312" w:cs="DengXian-Regular" w:hint="eastAsia"/>
          <w:sz w:val="32"/>
          <w:szCs w:val="32"/>
        </w:rPr>
        <w:t>本部门2018年度公务用车购置及运行维护费比年初预算</w:t>
      </w:r>
      <w:r>
        <w:rPr>
          <w:rFonts w:eastAsia="仿宋_GB2312"/>
          <w:sz w:val="32"/>
          <w:szCs w:val="32"/>
        </w:rPr>
        <w:t>减少</w:t>
      </w:r>
      <w:r>
        <w:rPr>
          <w:rFonts w:eastAsia="仿宋_GB2312" w:hint="eastAsia"/>
          <w:sz w:val="32"/>
          <w:szCs w:val="32"/>
        </w:rPr>
        <w:t>4.26</w:t>
      </w:r>
      <w:r>
        <w:rPr>
          <w:rFonts w:eastAsia="仿宋_GB2312"/>
          <w:sz w:val="32"/>
          <w:szCs w:val="32"/>
        </w:rPr>
        <w:t>万元</w:t>
      </w:r>
      <w:r>
        <w:rPr>
          <w:rFonts w:ascii="仿宋_GB2312" w:eastAsia="仿宋_GB2312" w:cs="DengXian-Regular" w:hint="eastAsia"/>
          <w:sz w:val="32"/>
          <w:szCs w:val="32"/>
        </w:rPr>
        <w:t>，</w:t>
      </w:r>
      <w:r>
        <w:rPr>
          <w:rFonts w:eastAsia="仿宋_GB2312"/>
          <w:sz w:val="32"/>
          <w:szCs w:val="32"/>
        </w:rPr>
        <w:t>降低</w:t>
      </w:r>
      <w:r>
        <w:rPr>
          <w:rFonts w:eastAsia="仿宋_GB2312" w:hint="eastAsia"/>
          <w:sz w:val="32"/>
          <w:szCs w:val="32"/>
        </w:rPr>
        <w:t>16.9</w:t>
      </w:r>
      <w:r>
        <w:rPr>
          <w:rFonts w:eastAsia="仿宋_GB2312"/>
          <w:sz w:val="32"/>
          <w:szCs w:val="32"/>
        </w:rPr>
        <w:t>%</w:t>
      </w:r>
      <w:r>
        <w:rPr>
          <w:rFonts w:ascii="仿宋_GB2312" w:eastAsia="仿宋_GB2312" w:cs="DengXian-Regular" w:hint="eastAsia"/>
          <w:sz w:val="32"/>
          <w:szCs w:val="32"/>
        </w:rPr>
        <w:t>,主要是</w:t>
      </w:r>
      <w:r>
        <w:rPr>
          <w:rFonts w:ascii="仿宋_GB2312" w:eastAsia="仿宋_GB2312" w:hAnsi="仿宋" w:hint="eastAsia"/>
          <w:sz w:val="32"/>
          <w:szCs w:val="32"/>
        </w:rPr>
        <w:t>主要原因</w:t>
      </w:r>
      <w:r>
        <w:rPr>
          <w:rFonts w:ascii="仿宋" w:eastAsia="仿宋" w:hAnsi="仿宋" w:cs="仿宋" w:hint="eastAsia"/>
          <w:sz w:val="32"/>
          <w:szCs w:val="32"/>
        </w:rPr>
        <w:t>我办认真贯彻落实八项规定要求，厉行节约，加强公务用车管理，严格控制支出</w:t>
      </w:r>
      <w:r>
        <w:rPr>
          <w:rFonts w:ascii="仿宋_GB2312" w:eastAsia="仿宋_GB2312" w:cs="DengXian-Regular" w:hint="eastAsia"/>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66.12</w:t>
      </w:r>
      <w:r>
        <w:rPr>
          <w:rFonts w:eastAsia="仿宋_GB2312"/>
          <w:sz w:val="32"/>
          <w:szCs w:val="32"/>
        </w:rPr>
        <w:t>万元，降低</w:t>
      </w:r>
      <w:r>
        <w:rPr>
          <w:rFonts w:eastAsia="仿宋_GB2312" w:hint="eastAsia"/>
          <w:sz w:val="32"/>
          <w:szCs w:val="32"/>
        </w:rPr>
        <w:t>75.95</w:t>
      </w:r>
      <w:r>
        <w:rPr>
          <w:rFonts w:eastAsia="仿宋_GB2312"/>
          <w:sz w:val="32"/>
          <w:szCs w:val="32"/>
        </w:rPr>
        <w:t>%</w:t>
      </w:r>
      <w:r>
        <w:rPr>
          <w:rFonts w:eastAsia="仿宋_GB2312"/>
          <w:sz w:val="32"/>
          <w:szCs w:val="32"/>
        </w:rPr>
        <w:t>，主要是</w:t>
      </w:r>
      <w:r>
        <w:rPr>
          <w:rFonts w:eastAsia="仿宋_GB2312" w:hint="eastAsia"/>
          <w:sz w:val="32"/>
          <w:szCs w:val="32"/>
        </w:rPr>
        <w:t>2017</w:t>
      </w:r>
      <w:r>
        <w:rPr>
          <w:rFonts w:eastAsia="仿宋_GB2312" w:hint="eastAsia"/>
          <w:sz w:val="32"/>
          <w:szCs w:val="32"/>
        </w:rPr>
        <w:t>年</w:t>
      </w:r>
      <w:r>
        <w:rPr>
          <w:rFonts w:ascii="仿宋_GB2312" w:eastAsia="仿宋_GB2312" w:hint="eastAsia"/>
          <w:sz w:val="32"/>
          <w:szCs w:val="32"/>
        </w:rPr>
        <w:t>度购置车辆两辆，年</w:t>
      </w:r>
      <w:r>
        <w:rPr>
          <w:rFonts w:ascii="仿宋_GB2312" w:eastAsia="仿宋_GB2312" w:hAnsi="仿宋" w:hint="eastAsia"/>
          <w:sz w:val="32"/>
          <w:szCs w:val="32"/>
        </w:rPr>
        <w:t>末公务用车保有量19辆，包括九个部门车辆，2018年末含有15辆车，小部门车辆账务仍在县委办，但是车辆费用拨付到各单位，拨入县委办车辆费用为9辆车费用；</w:t>
      </w:r>
      <w:r>
        <w:rPr>
          <w:rFonts w:eastAsia="仿宋_GB2312"/>
          <w:b/>
          <w:bCs/>
          <w:sz w:val="32"/>
          <w:szCs w:val="32"/>
        </w:rPr>
        <w:t>其中：</w:t>
      </w:r>
    </w:p>
    <w:p w:rsidR="0052058A" w:rsidRDefault="00E019B9">
      <w:pPr>
        <w:widowControl/>
        <w:spacing w:line="540" w:lineRule="exact"/>
        <w:ind w:firstLineChars="200" w:firstLine="643"/>
        <w:jc w:val="left"/>
        <w:rPr>
          <w:rFonts w:ascii="仿宋_GB2312" w:eastAsia="仿宋_GB2312"/>
          <w:sz w:val="32"/>
          <w:szCs w:val="32"/>
        </w:rPr>
      </w:pPr>
      <w:r>
        <w:rPr>
          <w:rFonts w:eastAsia="仿宋_GB2312"/>
          <w:b/>
          <w:sz w:val="32"/>
          <w:szCs w:val="32"/>
        </w:rPr>
        <w:t>公务用车购置费支出</w:t>
      </w:r>
      <w:r>
        <w:rPr>
          <w:rFonts w:eastAsia="仿宋_GB2312" w:hint="eastAsia"/>
          <w:b/>
          <w:sz w:val="32"/>
          <w:szCs w:val="32"/>
        </w:rPr>
        <w:t>0</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年度公务用车购置数量</w:t>
      </w:r>
      <w:r>
        <w:rPr>
          <w:rFonts w:eastAsia="仿宋_GB2312" w:hint="eastAsia"/>
          <w:sz w:val="32"/>
          <w:szCs w:val="32"/>
        </w:rPr>
        <w:t>0</w:t>
      </w:r>
      <w:r>
        <w:rPr>
          <w:rFonts w:eastAsia="仿宋_GB2312"/>
          <w:sz w:val="32"/>
          <w:szCs w:val="32"/>
        </w:rPr>
        <w:t>辆</w:t>
      </w:r>
      <w:r>
        <w:rPr>
          <w:rFonts w:eastAsia="仿宋_GB2312" w:hint="eastAsia"/>
          <w:sz w:val="32"/>
          <w:szCs w:val="32"/>
        </w:rPr>
        <w:t>，未发生公务用车购置经费支出，</w:t>
      </w:r>
      <w:r>
        <w:rPr>
          <w:rFonts w:eastAsia="仿宋_GB2312"/>
          <w:color w:val="000000"/>
          <w:sz w:val="32"/>
          <w:szCs w:val="32"/>
        </w:rPr>
        <w:t>较年初预算无增减变化</w:t>
      </w:r>
      <w:r>
        <w:rPr>
          <w:rFonts w:eastAsia="仿宋_GB2312" w:hint="eastAsia"/>
          <w:color w:val="000000"/>
          <w:sz w:val="32"/>
          <w:szCs w:val="32"/>
        </w:rPr>
        <w:t>，</w:t>
      </w:r>
      <w:r>
        <w:rPr>
          <w:rFonts w:eastAsia="仿宋_GB2312"/>
          <w:color w:val="000000"/>
          <w:sz w:val="32"/>
          <w:szCs w:val="32"/>
        </w:rPr>
        <w:t>较</w:t>
      </w:r>
      <w:r>
        <w:rPr>
          <w:rFonts w:eastAsia="仿宋_GB2312"/>
          <w:color w:val="000000"/>
          <w:sz w:val="32"/>
          <w:szCs w:val="32"/>
        </w:rPr>
        <w:t>201</w:t>
      </w:r>
      <w:r>
        <w:rPr>
          <w:rFonts w:eastAsia="仿宋_GB2312" w:hint="eastAsia"/>
          <w:color w:val="000000"/>
          <w:sz w:val="32"/>
          <w:szCs w:val="32"/>
        </w:rPr>
        <w:t>7</w:t>
      </w:r>
      <w:r>
        <w:rPr>
          <w:rFonts w:eastAsia="仿宋_GB2312"/>
          <w:color w:val="000000"/>
          <w:sz w:val="32"/>
          <w:szCs w:val="32"/>
        </w:rPr>
        <w:t>年度决算减</w:t>
      </w:r>
      <w:r>
        <w:rPr>
          <w:rFonts w:eastAsia="仿宋_GB2312" w:hint="eastAsia"/>
          <w:color w:val="000000"/>
          <w:sz w:val="32"/>
          <w:szCs w:val="32"/>
        </w:rPr>
        <w:t>少</w:t>
      </w:r>
      <w:r>
        <w:rPr>
          <w:rFonts w:eastAsia="仿宋_GB2312" w:hint="eastAsia"/>
          <w:color w:val="000000"/>
          <w:sz w:val="32"/>
          <w:szCs w:val="32"/>
        </w:rPr>
        <w:t>39.07</w:t>
      </w:r>
      <w:r>
        <w:rPr>
          <w:rFonts w:eastAsia="仿宋_GB2312" w:hint="eastAsia"/>
          <w:color w:val="000000"/>
          <w:sz w:val="32"/>
          <w:szCs w:val="32"/>
        </w:rPr>
        <w:t>万，</w:t>
      </w:r>
      <w:r>
        <w:rPr>
          <w:rFonts w:ascii="仿宋_GB2312" w:eastAsia="仿宋_GB2312" w:hAnsi="仿宋" w:hint="eastAsia"/>
          <w:sz w:val="32"/>
          <w:szCs w:val="32"/>
        </w:rPr>
        <w:t>主要原因为</w:t>
      </w:r>
      <w:r>
        <w:rPr>
          <w:rFonts w:ascii="仿宋_GB2312" w:eastAsia="仿宋_GB2312" w:hint="eastAsia"/>
          <w:sz w:val="32"/>
          <w:szCs w:val="32"/>
        </w:rPr>
        <w:t>成立事业单位公务接待办购车一辆及书记实务保障车辆一辆。</w:t>
      </w:r>
    </w:p>
    <w:p w:rsidR="0052058A" w:rsidRDefault="00E019B9">
      <w:pPr>
        <w:adjustRightInd w:val="0"/>
        <w:snapToGrid w:val="0"/>
        <w:spacing w:line="584" w:lineRule="exact"/>
        <w:ind w:firstLineChars="200" w:firstLine="643"/>
        <w:rPr>
          <w:rFonts w:eastAsia="仿宋_GB2312"/>
          <w:sz w:val="32"/>
          <w:szCs w:val="32"/>
          <w:highlight w:val="yellow"/>
        </w:rPr>
      </w:pPr>
      <w:r>
        <w:rPr>
          <w:rFonts w:eastAsia="仿宋_GB2312"/>
          <w:b/>
          <w:sz w:val="32"/>
          <w:szCs w:val="32"/>
        </w:rPr>
        <w:t>公务用车运行维护费支出</w:t>
      </w:r>
      <w:r>
        <w:rPr>
          <w:rFonts w:eastAsia="仿宋_GB2312" w:hint="eastAsia"/>
          <w:b/>
          <w:sz w:val="32"/>
          <w:szCs w:val="32"/>
        </w:rPr>
        <w:t>20.94</w:t>
      </w:r>
      <w:r>
        <w:rPr>
          <w:rFonts w:eastAsia="仿宋_GB2312"/>
          <w:b/>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年末单位公务用车保有量</w:t>
      </w:r>
      <w:r>
        <w:rPr>
          <w:rFonts w:eastAsia="仿宋_GB2312" w:hint="eastAsia"/>
          <w:sz w:val="32"/>
          <w:szCs w:val="32"/>
        </w:rPr>
        <w:t>15</w:t>
      </w:r>
      <w:r>
        <w:rPr>
          <w:rFonts w:eastAsia="仿宋_GB2312"/>
          <w:sz w:val="32"/>
          <w:szCs w:val="32"/>
        </w:rPr>
        <w:t>辆。公车运行维护费支出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4.26</w:t>
      </w:r>
      <w:r>
        <w:rPr>
          <w:rFonts w:eastAsia="仿宋_GB2312"/>
          <w:sz w:val="32"/>
          <w:szCs w:val="32"/>
        </w:rPr>
        <w:t>万元，降低</w:t>
      </w:r>
      <w:r>
        <w:rPr>
          <w:rFonts w:eastAsia="仿宋_GB2312" w:hint="eastAsia"/>
          <w:sz w:val="32"/>
          <w:szCs w:val="32"/>
        </w:rPr>
        <w:t>16.9</w:t>
      </w:r>
      <w:r>
        <w:rPr>
          <w:rFonts w:eastAsia="仿宋_GB2312"/>
          <w:sz w:val="32"/>
          <w:szCs w:val="32"/>
        </w:rPr>
        <w:t>%</w:t>
      </w:r>
      <w:r>
        <w:rPr>
          <w:rFonts w:eastAsia="仿宋_GB2312"/>
          <w:sz w:val="32"/>
          <w:szCs w:val="32"/>
        </w:rPr>
        <w:t>，</w:t>
      </w:r>
      <w:r>
        <w:rPr>
          <w:rFonts w:ascii="仿宋_GB2312" w:eastAsia="仿宋_GB2312" w:cs="DengXian-Regular" w:hint="eastAsia"/>
          <w:sz w:val="32"/>
          <w:szCs w:val="32"/>
        </w:rPr>
        <w:t>主要是</w:t>
      </w:r>
      <w:r>
        <w:rPr>
          <w:rFonts w:ascii="仿宋_GB2312" w:eastAsia="仿宋_GB2312" w:hAnsi="仿宋" w:hint="eastAsia"/>
          <w:sz w:val="32"/>
          <w:szCs w:val="32"/>
        </w:rPr>
        <w:t>主要原因</w:t>
      </w:r>
      <w:r>
        <w:rPr>
          <w:rFonts w:ascii="仿宋" w:eastAsia="仿宋" w:hAnsi="仿宋" w:cs="仿宋" w:hint="eastAsia"/>
          <w:sz w:val="32"/>
          <w:szCs w:val="32"/>
        </w:rPr>
        <w:t>我办认真贯彻落实八项规定要求，厉行节约，加强公务用车管理，严格控制支出</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t>27.05</w:t>
      </w:r>
      <w:r>
        <w:rPr>
          <w:rFonts w:eastAsia="仿宋_GB2312"/>
          <w:sz w:val="32"/>
          <w:szCs w:val="32"/>
        </w:rPr>
        <w:t>万元，降低</w:t>
      </w:r>
      <w:r>
        <w:rPr>
          <w:rFonts w:eastAsia="仿宋_GB2312" w:hint="eastAsia"/>
          <w:sz w:val="32"/>
          <w:szCs w:val="32"/>
        </w:rPr>
        <w:t>56.37</w:t>
      </w:r>
      <w:r>
        <w:rPr>
          <w:rFonts w:eastAsia="仿宋_GB2312"/>
          <w:sz w:val="32"/>
          <w:szCs w:val="32"/>
        </w:rPr>
        <w:t>%</w:t>
      </w:r>
      <w:r>
        <w:rPr>
          <w:rFonts w:eastAsia="仿宋_GB2312"/>
          <w:sz w:val="32"/>
          <w:szCs w:val="32"/>
        </w:rPr>
        <w:t>，主要是</w:t>
      </w:r>
      <w:r>
        <w:rPr>
          <w:rFonts w:eastAsia="仿宋_GB2312" w:hint="eastAsia"/>
          <w:sz w:val="32"/>
          <w:szCs w:val="32"/>
        </w:rPr>
        <w:t>2017</w:t>
      </w:r>
      <w:r>
        <w:rPr>
          <w:rFonts w:eastAsia="仿宋_GB2312" w:hint="eastAsia"/>
          <w:sz w:val="32"/>
          <w:szCs w:val="32"/>
        </w:rPr>
        <w:t>年</w:t>
      </w:r>
      <w:r>
        <w:rPr>
          <w:rFonts w:ascii="仿宋_GB2312" w:eastAsia="仿宋_GB2312" w:hint="eastAsia"/>
          <w:sz w:val="32"/>
          <w:szCs w:val="32"/>
        </w:rPr>
        <w:t>度年</w:t>
      </w:r>
      <w:r>
        <w:rPr>
          <w:rFonts w:ascii="仿宋_GB2312" w:eastAsia="仿宋_GB2312" w:hAnsi="仿宋" w:hint="eastAsia"/>
          <w:sz w:val="32"/>
          <w:szCs w:val="32"/>
        </w:rPr>
        <w:t>末公务用车保有量19辆，包括九个部门车辆，2018年末含有15辆车，小部门车辆账务仍在县委办，但是车辆费用拨付到各单位，拨入县委办车辆费用为9辆车费用。</w:t>
      </w:r>
    </w:p>
    <w:p w:rsidR="0052058A" w:rsidRDefault="00E019B9">
      <w:pPr>
        <w:adjustRightInd w:val="0"/>
        <w:snapToGrid w:val="0"/>
        <w:spacing w:line="584" w:lineRule="exact"/>
        <w:ind w:firstLineChars="200" w:firstLine="643"/>
        <w:rPr>
          <w:rFonts w:eastAsia="仿宋_GB2312"/>
          <w:sz w:val="30"/>
          <w:szCs w:val="30"/>
          <w:highlight w:val="yellow"/>
        </w:rPr>
      </w:pPr>
      <w:r>
        <w:rPr>
          <w:rFonts w:eastAsia="楷体_GB2312"/>
          <w:b/>
          <w:bCs/>
          <w:sz w:val="32"/>
          <w:szCs w:val="32"/>
        </w:rPr>
        <w:t>（三）公务接待费支出</w:t>
      </w:r>
      <w:r>
        <w:rPr>
          <w:rFonts w:eastAsia="楷体_GB2312" w:hint="eastAsia"/>
          <w:b/>
          <w:bCs/>
          <w:sz w:val="32"/>
          <w:szCs w:val="32"/>
        </w:rPr>
        <w:t>222.09</w:t>
      </w:r>
      <w:r>
        <w:rPr>
          <w:rFonts w:eastAsia="楷体_GB2312"/>
          <w:b/>
          <w:bCs/>
          <w:sz w:val="32"/>
          <w:szCs w:val="32"/>
        </w:rPr>
        <w:t>万元。</w:t>
      </w:r>
      <w:r>
        <w:rPr>
          <w:rFonts w:eastAsia="仿宋_GB2312"/>
          <w:sz w:val="32"/>
          <w:szCs w:val="32"/>
        </w:rPr>
        <w:t>本部门</w:t>
      </w:r>
      <w:r>
        <w:rPr>
          <w:rFonts w:eastAsia="仿宋_GB2312"/>
          <w:sz w:val="32"/>
          <w:szCs w:val="32"/>
        </w:rPr>
        <w:t>201</w:t>
      </w:r>
      <w:r>
        <w:rPr>
          <w:rFonts w:eastAsia="仿宋_GB2312" w:hint="eastAsia"/>
          <w:sz w:val="32"/>
          <w:szCs w:val="32"/>
        </w:rPr>
        <w:t>8</w:t>
      </w:r>
      <w:r>
        <w:rPr>
          <w:rFonts w:eastAsia="仿宋_GB2312"/>
          <w:sz w:val="32"/>
          <w:szCs w:val="32"/>
        </w:rPr>
        <w:t>年度公务</w:t>
      </w:r>
      <w:r>
        <w:rPr>
          <w:rFonts w:eastAsia="仿宋_GB2312"/>
          <w:sz w:val="32"/>
          <w:szCs w:val="32"/>
        </w:rPr>
        <w:lastRenderedPageBreak/>
        <w:t>接待共</w:t>
      </w:r>
      <w:r>
        <w:rPr>
          <w:rFonts w:eastAsia="仿宋_GB2312" w:hint="eastAsia"/>
          <w:sz w:val="32"/>
          <w:szCs w:val="32"/>
        </w:rPr>
        <w:t>108</w:t>
      </w:r>
      <w:r>
        <w:rPr>
          <w:rFonts w:eastAsia="仿宋_GB2312"/>
          <w:sz w:val="32"/>
          <w:szCs w:val="32"/>
        </w:rPr>
        <w:t>批次、</w:t>
      </w:r>
      <w:r>
        <w:rPr>
          <w:rFonts w:eastAsia="仿宋_GB2312" w:hint="eastAsia"/>
          <w:sz w:val="32"/>
          <w:szCs w:val="32"/>
        </w:rPr>
        <w:t>3975</w:t>
      </w:r>
      <w:r>
        <w:rPr>
          <w:rFonts w:eastAsia="仿宋_GB2312"/>
          <w:sz w:val="32"/>
          <w:szCs w:val="32"/>
        </w:rPr>
        <w:t>人次。公务接待费支出</w:t>
      </w:r>
      <w:r>
        <w:rPr>
          <w:rFonts w:eastAsia="仿宋_GB2312" w:hint="eastAsia"/>
          <w:sz w:val="32"/>
          <w:szCs w:val="32"/>
        </w:rPr>
        <w:t>比</w:t>
      </w:r>
      <w:r>
        <w:rPr>
          <w:rFonts w:eastAsia="仿宋_GB2312"/>
          <w:sz w:val="32"/>
          <w:szCs w:val="32"/>
        </w:rPr>
        <w:t>年初预算减少</w:t>
      </w:r>
      <w:r>
        <w:rPr>
          <w:rFonts w:eastAsia="仿宋_GB2312" w:hint="eastAsia"/>
          <w:sz w:val="32"/>
          <w:szCs w:val="32"/>
        </w:rPr>
        <w:t>429.88</w:t>
      </w:r>
      <w:r>
        <w:rPr>
          <w:rFonts w:eastAsia="仿宋_GB2312"/>
          <w:sz w:val="32"/>
          <w:szCs w:val="32"/>
        </w:rPr>
        <w:t>万元，降低</w:t>
      </w:r>
      <w:r>
        <w:rPr>
          <w:rFonts w:eastAsia="仿宋_GB2312" w:hint="eastAsia"/>
          <w:sz w:val="32"/>
          <w:szCs w:val="32"/>
        </w:rPr>
        <w:t>65.94</w:t>
      </w:r>
      <w:r>
        <w:rPr>
          <w:rFonts w:eastAsia="仿宋_GB2312"/>
          <w:sz w:val="32"/>
          <w:szCs w:val="32"/>
        </w:rPr>
        <w:t>%</w:t>
      </w:r>
      <w:r>
        <w:rPr>
          <w:rFonts w:eastAsia="仿宋_GB2312"/>
          <w:sz w:val="32"/>
          <w:szCs w:val="32"/>
        </w:rPr>
        <w:t>，主要是</w:t>
      </w:r>
      <w:r>
        <w:rPr>
          <w:rFonts w:eastAsia="仿宋_GB2312" w:hint="eastAsia"/>
          <w:sz w:val="32"/>
          <w:szCs w:val="32"/>
        </w:rPr>
        <w:t>接待费第四季度费用次年支付，未产生在</w:t>
      </w:r>
      <w:r>
        <w:rPr>
          <w:rFonts w:eastAsia="仿宋_GB2312" w:hint="eastAsia"/>
          <w:sz w:val="32"/>
          <w:szCs w:val="32"/>
        </w:rPr>
        <w:t>2018</w:t>
      </w:r>
      <w:r>
        <w:rPr>
          <w:rFonts w:eastAsia="仿宋_GB2312" w:hint="eastAsia"/>
          <w:sz w:val="32"/>
          <w:szCs w:val="32"/>
        </w:rPr>
        <w:t>年费用中</w:t>
      </w:r>
      <w:r>
        <w:rPr>
          <w:rFonts w:eastAsia="仿宋_GB2312"/>
          <w:sz w:val="32"/>
          <w:szCs w:val="32"/>
        </w:rPr>
        <w:t>；</w:t>
      </w:r>
      <w:r>
        <w:rPr>
          <w:rFonts w:eastAsia="仿宋_GB2312" w:hint="eastAsia"/>
          <w:sz w:val="32"/>
          <w:szCs w:val="32"/>
        </w:rPr>
        <w:t>比</w:t>
      </w:r>
      <w:r>
        <w:rPr>
          <w:rFonts w:eastAsia="仿宋_GB2312"/>
          <w:sz w:val="32"/>
          <w:szCs w:val="32"/>
        </w:rPr>
        <w:t>201</w:t>
      </w:r>
      <w:r>
        <w:rPr>
          <w:rFonts w:eastAsia="仿宋_GB2312" w:hint="eastAsia"/>
          <w:sz w:val="32"/>
          <w:szCs w:val="32"/>
        </w:rPr>
        <w:t>7</w:t>
      </w:r>
      <w:r>
        <w:rPr>
          <w:rFonts w:eastAsia="仿宋_GB2312"/>
          <w:sz w:val="32"/>
          <w:szCs w:val="32"/>
        </w:rPr>
        <w:t>年度决算增加</w:t>
      </w:r>
      <w:r>
        <w:rPr>
          <w:rFonts w:eastAsia="仿宋_GB2312" w:hint="eastAsia"/>
          <w:sz w:val="32"/>
          <w:szCs w:val="32"/>
        </w:rPr>
        <w:t>81.6</w:t>
      </w:r>
      <w:r>
        <w:rPr>
          <w:rFonts w:eastAsia="仿宋_GB2312"/>
          <w:sz w:val="32"/>
          <w:szCs w:val="32"/>
        </w:rPr>
        <w:t>万元，增长</w:t>
      </w:r>
      <w:r>
        <w:rPr>
          <w:rFonts w:eastAsia="仿宋_GB2312" w:hint="eastAsia"/>
          <w:sz w:val="32"/>
          <w:szCs w:val="32"/>
        </w:rPr>
        <w:t>58.23</w:t>
      </w:r>
      <w:r>
        <w:rPr>
          <w:rFonts w:eastAsia="仿宋_GB2312"/>
          <w:sz w:val="32"/>
          <w:szCs w:val="32"/>
        </w:rPr>
        <w:t>%</w:t>
      </w:r>
      <w:r>
        <w:rPr>
          <w:rFonts w:eastAsia="仿宋_GB2312"/>
          <w:sz w:val="32"/>
          <w:szCs w:val="32"/>
        </w:rPr>
        <w:t>，主要是</w:t>
      </w:r>
      <w:r>
        <w:rPr>
          <w:rFonts w:ascii="仿宋_GB2312" w:eastAsia="仿宋_GB2312" w:hint="eastAsia"/>
          <w:sz w:val="32"/>
          <w:szCs w:val="32"/>
        </w:rPr>
        <w:t>自2017年财政局接待中心改革，自2017年10月份财政调整接待费年初预算指标将接待费用拨付本单位自行支付，为2017年四季度费用，而2018年费用为一至三季度费用。</w:t>
      </w:r>
    </w:p>
    <w:p w:rsidR="0052058A" w:rsidRDefault="00E019B9">
      <w:pPr>
        <w:adjustRightInd w:val="0"/>
        <w:snapToGrid w:val="0"/>
        <w:spacing w:after="0" w:line="580" w:lineRule="exact"/>
        <w:ind w:firstLineChars="200" w:firstLine="640"/>
        <w:rPr>
          <w:rFonts w:ascii="黑体" w:eastAsia="黑体"/>
          <w:sz w:val="32"/>
          <w:szCs w:val="40"/>
        </w:rPr>
      </w:pPr>
      <w:r>
        <w:rPr>
          <w:rFonts w:ascii="黑体" w:eastAsia="黑体" w:hint="eastAsia"/>
          <w:sz w:val="32"/>
          <w:szCs w:val="40"/>
        </w:rPr>
        <w:t>六、预算绩效情况说明</w:t>
      </w:r>
    </w:p>
    <w:p w:rsidR="0052058A" w:rsidRDefault="00E019B9">
      <w:pPr>
        <w:autoSpaceDE w:val="0"/>
        <w:autoSpaceDN w:val="0"/>
        <w:adjustRightInd w:val="0"/>
        <w:spacing w:line="360" w:lineRule="auto"/>
        <w:ind w:left="198" w:firstLineChars="200" w:firstLine="640"/>
        <w:jc w:val="left"/>
        <w:rPr>
          <w:rFonts w:ascii="仿宋_GB2312" w:eastAsia="仿宋_GB2312" w:cs="DengXian-Regular"/>
          <w:sz w:val="32"/>
          <w:szCs w:val="32"/>
        </w:rPr>
      </w:pPr>
      <w:r>
        <w:rPr>
          <w:rFonts w:ascii="仿宋_GB2312" w:eastAsia="仿宋_GB2312" w:cs="DengXian-Regular" w:hint="eastAsia"/>
          <w:sz w:val="32"/>
          <w:szCs w:val="32"/>
        </w:rPr>
        <w:t>（一）预算绩效管理工作开展情况。</w:t>
      </w:r>
    </w:p>
    <w:p w:rsidR="0052058A" w:rsidRDefault="00E019B9">
      <w:pPr>
        <w:autoSpaceDE w:val="0"/>
        <w:autoSpaceDN w:val="0"/>
        <w:adjustRightInd w:val="0"/>
        <w:spacing w:line="360" w:lineRule="auto"/>
        <w:ind w:left="198"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2018年度按照县财政局关于做好预算绩效管理工作的相关要求，我</w:t>
      </w:r>
      <w:proofErr w:type="gramStart"/>
      <w:r>
        <w:rPr>
          <w:rFonts w:ascii="仿宋_GB2312" w:eastAsia="仿宋_GB2312" w:hAnsi="仿宋_GB2312" w:cs="仿宋_GB2312" w:hint="eastAsia"/>
          <w:sz w:val="32"/>
          <w:szCs w:val="32"/>
        </w:rPr>
        <w:t>办突出</w:t>
      </w:r>
      <w:proofErr w:type="gramEnd"/>
      <w:r>
        <w:rPr>
          <w:rFonts w:ascii="仿宋_GB2312" w:eastAsia="仿宋_GB2312" w:hAnsi="仿宋_GB2312" w:cs="仿宋_GB2312" w:hint="eastAsia"/>
          <w:sz w:val="32"/>
          <w:szCs w:val="32"/>
        </w:rPr>
        <w:t>重点，认真抓好2017年度部门绩效评价工作，</w:t>
      </w:r>
      <w:r>
        <w:rPr>
          <w:rFonts w:ascii="仿宋_GB2312" w:eastAsia="仿宋_GB2312" w:hint="eastAsia"/>
          <w:sz w:val="32"/>
          <w:szCs w:val="32"/>
        </w:rPr>
        <w:t>以“部门职责—工作活动”为依据，确定部门预算项目和预算额度，清晰描述预算项目开支范围和内容，确定预算项目的绩效目标、绩效指标和评价标准，为预算绩效控制、绩效分析、绩效评价打下好的基础。</w:t>
      </w:r>
      <w:r>
        <w:rPr>
          <w:rFonts w:ascii="仿宋_GB2312" w:eastAsia="仿宋_GB2312" w:hAnsi="仿宋_GB2312" w:cs="仿宋_GB2312" w:hint="eastAsia"/>
          <w:sz w:val="32"/>
          <w:szCs w:val="32"/>
        </w:rPr>
        <w:t>2017年我办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价工作的有效开展；三是早作准备，在年度预算编制时就按照绩效考评的规范，抓好组织管理，做好</w:t>
      </w:r>
      <w:r>
        <w:rPr>
          <w:rFonts w:ascii="仿宋_GB2312" w:eastAsia="仿宋_GB2312" w:hAnsi="仿宋_GB2312" w:cs="仿宋_GB2312" w:hint="eastAsia"/>
          <w:sz w:val="32"/>
          <w:szCs w:val="32"/>
        </w:rPr>
        <w:lastRenderedPageBreak/>
        <w:t>年度计划；四是积极参加财政部门的绩效评价培训，学习、掌握各项评价指标记分操作等。</w:t>
      </w:r>
    </w:p>
    <w:p w:rsidR="0052058A" w:rsidRDefault="00E019B9">
      <w:pPr>
        <w:ind w:leftChars="200" w:left="420" w:firstLineChars="200" w:firstLine="640"/>
        <w:rPr>
          <w:rFonts w:ascii="仿宋_GB2312" w:eastAsia="仿宋_GB2312"/>
          <w:sz w:val="32"/>
          <w:szCs w:val="32"/>
        </w:rPr>
      </w:pPr>
      <w:r>
        <w:rPr>
          <w:rFonts w:ascii="仿宋_GB2312" w:eastAsia="仿宋_GB2312" w:cs="DengXian-Regular" w:hint="eastAsia"/>
          <w:sz w:val="32"/>
          <w:szCs w:val="32"/>
        </w:rPr>
        <w:t>（二）项目绩效自评结果。</w:t>
      </w:r>
      <w:r>
        <w:rPr>
          <w:rFonts w:ascii="仿宋_GB2312" w:eastAsia="仿宋_GB2312" w:hAnsi="仿宋" w:hint="eastAsia"/>
          <w:sz w:val="32"/>
          <w:szCs w:val="32"/>
        </w:rPr>
        <w:t>健全绩效评价工作机构、完善评价工作机制，</w:t>
      </w:r>
      <w:r>
        <w:rPr>
          <w:rFonts w:ascii="仿宋_GB2312" w:eastAsia="仿宋_GB2312" w:hint="eastAsia"/>
          <w:sz w:val="32"/>
          <w:szCs w:val="32"/>
        </w:rPr>
        <w:t>按照</w:t>
      </w:r>
      <w:r>
        <w:rPr>
          <w:rFonts w:ascii="仿宋_GB2312" w:eastAsia="仿宋_GB2312" w:hAnsi="仿宋_GB2312" w:cs="仿宋_GB2312" w:hint="eastAsia"/>
          <w:sz w:val="32"/>
          <w:szCs w:val="32"/>
        </w:rPr>
        <w:t>县财政局预算绩效管理工作的相关要求</w:t>
      </w:r>
      <w:r>
        <w:rPr>
          <w:rFonts w:ascii="仿宋_GB2312" w:eastAsia="仿宋_GB2312" w:hint="eastAsia"/>
          <w:sz w:val="32"/>
          <w:szCs w:val="32"/>
        </w:rPr>
        <w:t>，我办</w:t>
      </w:r>
      <w:r>
        <w:rPr>
          <w:rFonts w:ascii="仿宋_GB2312" w:eastAsia="仿宋_GB2312" w:hAnsi="仿宋" w:hint="eastAsia"/>
          <w:sz w:val="32"/>
          <w:szCs w:val="32"/>
        </w:rPr>
        <w:t>将财政支出绩效评价工作列入年度工作划和工作目标考核，2018</w:t>
      </w:r>
      <w:r>
        <w:rPr>
          <w:rFonts w:ascii="仿宋_GB2312" w:eastAsia="仿宋_GB2312" w:hint="eastAsia"/>
          <w:sz w:val="32"/>
          <w:szCs w:val="32"/>
        </w:rPr>
        <w:t xml:space="preserve"> 年初确定的部门一般公共预算支出专项项目全面开展了绩效自评，绩效自评覆盖率达到 100%，</w:t>
      </w:r>
      <w:r>
        <w:rPr>
          <w:rFonts w:ascii="仿宋_GB2312" w:eastAsia="仿宋_GB2312" w:hAnsi="仿宋" w:hint="eastAsia"/>
          <w:sz w:val="32"/>
          <w:szCs w:val="32"/>
        </w:rPr>
        <w:t>确保绩效评价工作扎实、有效、全面推进。</w:t>
      </w:r>
    </w:p>
    <w:p w:rsidR="0052058A" w:rsidRDefault="00E019B9">
      <w:pPr>
        <w:ind w:leftChars="200" w:left="420" w:firstLineChars="200" w:firstLine="640"/>
        <w:rPr>
          <w:rFonts w:ascii="仿宋_GB2312" w:eastAsia="仿宋_GB2312" w:cs="DengXian-Regular"/>
          <w:sz w:val="32"/>
          <w:szCs w:val="32"/>
        </w:rPr>
      </w:pPr>
      <w:r>
        <w:rPr>
          <w:rFonts w:ascii="仿宋_GB2312" w:eastAsia="仿宋_GB2312" w:cs="DengXian-Regular" w:hint="eastAsia"/>
          <w:sz w:val="32"/>
          <w:szCs w:val="32"/>
        </w:rPr>
        <w:t>（三）重点项目绩效评价结果。</w:t>
      </w:r>
      <w:r>
        <w:rPr>
          <w:rFonts w:ascii="仿宋_GB2312" w:eastAsia="仿宋_GB2312" w:hAnsi="仿宋" w:hint="eastAsia"/>
          <w:sz w:val="32"/>
          <w:szCs w:val="32"/>
        </w:rPr>
        <w:t>明确重点，做好绩效自评。财政支出绩效评价首先要减少资金使用管理中的损失浪费现象，其次要达到资金的合理、优化配给。2018年度， 我办针对“大厂县委南楼维修改造”项目开展了重点的分析与自评。制定有关自评工作方案，落实专门人员，并将项目的执行情况、预期绩效完成情况、资金配置和使用等方面做出绩效报告，</w:t>
      </w:r>
      <w:r>
        <w:rPr>
          <w:rFonts w:ascii="仿宋_GB2312" w:eastAsia="仿宋_GB2312" w:hint="eastAsia"/>
          <w:sz w:val="32"/>
          <w:szCs w:val="32"/>
        </w:rPr>
        <w:t>绩效自评等级为“优秀”。</w:t>
      </w:r>
    </w:p>
    <w:p w:rsidR="0052058A" w:rsidRDefault="00E019B9">
      <w:pPr>
        <w:pStyle w:val="2"/>
        <w:spacing w:before="0" w:after="0" w:line="580" w:lineRule="exact"/>
        <w:ind w:firstLineChars="200" w:firstLine="640"/>
        <w:rPr>
          <w:rFonts w:ascii="黑体" w:eastAsia="黑体" w:cs="Times New Roman"/>
          <w:b w:val="0"/>
          <w:bCs w:val="0"/>
        </w:rPr>
      </w:pPr>
      <w:r>
        <w:rPr>
          <w:rFonts w:ascii="黑体" w:eastAsia="黑体" w:cs="Times New Roman" w:hint="eastAsia"/>
          <w:b w:val="0"/>
          <w:bCs w:val="0"/>
        </w:rPr>
        <w:t>七、其他重要事项的说明</w:t>
      </w:r>
    </w:p>
    <w:p w:rsidR="0052058A" w:rsidRDefault="00E019B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（一）机关运行经费情况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 xml:space="preserve">本部门2018年度机关运行经费支出218.45万元，比年初预算数增加40.13万元，增长22.5 </w:t>
      </w:r>
      <w:r>
        <w:rPr>
          <w:rFonts w:eastAsia="仿宋_GB2312"/>
          <w:sz w:val="32"/>
          <w:szCs w:val="32"/>
        </w:rPr>
        <w:t>%</w:t>
      </w:r>
      <w:r>
        <w:rPr>
          <w:rFonts w:ascii="仿宋_GB2312" w:eastAsia="仿宋_GB2312" w:cs="DengXian-Regular" w:hint="eastAsia"/>
          <w:sz w:val="32"/>
          <w:szCs w:val="32"/>
        </w:rPr>
        <w:t>。主要是2017年工商联及农工部结转资金支出及</w:t>
      </w:r>
      <w:proofErr w:type="gramStart"/>
      <w:r>
        <w:rPr>
          <w:rFonts w:ascii="仿宋_GB2312" w:eastAsia="仿宋_GB2312" w:cs="DengXian-Regular" w:hint="eastAsia"/>
          <w:sz w:val="32"/>
          <w:szCs w:val="32"/>
        </w:rPr>
        <w:t>党行政</w:t>
      </w:r>
      <w:proofErr w:type="gramEnd"/>
      <w:r>
        <w:rPr>
          <w:rFonts w:ascii="仿宋_GB2312" w:eastAsia="仿宋_GB2312" w:cs="DengXian-Regular" w:hint="eastAsia"/>
          <w:sz w:val="32"/>
          <w:szCs w:val="32"/>
        </w:rPr>
        <w:t>运行支出。</w:t>
      </w:r>
      <w:r>
        <w:rPr>
          <w:rFonts w:eastAsia="仿宋_GB2312"/>
          <w:sz w:val="32"/>
          <w:szCs w:val="32"/>
        </w:rPr>
        <w:t>较</w:t>
      </w:r>
      <w:r>
        <w:rPr>
          <w:rFonts w:eastAsia="仿宋_GB2312"/>
          <w:sz w:val="32"/>
          <w:szCs w:val="32"/>
        </w:rPr>
        <w:t>201</w:t>
      </w:r>
      <w:r>
        <w:rPr>
          <w:rFonts w:eastAsia="仿宋_GB2312" w:hint="eastAsia"/>
          <w:sz w:val="32"/>
          <w:szCs w:val="32"/>
        </w:rPr>
        <w:t>7</w:t>
      </w:r>
      <w:r>
        <w:rPr>
          <w:rFonts w:eastAsia="仿宋_GB2312"/>
          <w:sz w:val="32"/>
          <w:szCs w:val="32"/>
        </w:rPr>
        <w:t>年度决算减少</w:t>
      </w:r>
      <w:r>
        <w:rPr>
          <w:rFonts w:eastAsia="仿宋_GB2312" w:hint="eastAsia"/>
          <w:sz w:val="32"/>
          <w:szCs w:val="32"/>
        </w:rPr>
        <w:lastRenderedPageBreak/>
        <w:t>280.17</w:t>
      </w:r>
      <w:r>
        <w:rPr>
          <w:rFonts w:eastAsia="仿宋_GB2312"/>
          <w:sz w:val="32"/>
          <w:szCs w:val="32"/>
        </w:rPr>
        <w:t>万元，降低</w:t>
      </w:r>
      <w:r>
        <w:rPr>
          <w:rFonts w:eastAsia="仿宋_GB2312" w:hint="eastAsia"/>
          <w:sz w:val="32"/>
          <w:szCs w:val="32"/>
        </w:rPr>
        <w:t>56.19</w:t>
      </w:r>
      <w:r>
        <w:rPr>
          <w:rFonts w:eastAsia="仿宋_GB2312"/>
          <w:sz w:val="32"/>
          <w:szCs w:val="32"/>
        </w:rPr>
        <w:t>%</w:t>
      </w:r>
      <w:r>
        <w:rPr>
          <w:rFonts w:eastAsia="仿宋_GB2312"/>
          <w:sz w:val="32"/>
          <w:szCs w:val="32"/>
        </w:rPr>
        <w:t>，主要是</w:t>
      </w:r>
      <w:r>
        <w:rPr>
          <w:rFonts w:eastAsia="仿宋_GB2312" w:hint="eastAsia"/>
          <w:sz w:val="32"/>
          <w:szCs w:val="32"/>
        </w:rPr>
        <w:t>减少了党史办、机要局、机关工委、工商联、农工部、统战部、团委、妇联八个部门的支出。</w:t>
      </w:r>
    </w:p>
    <w:p w:rsidR="0052058A" w:rsidRDefault="00E019B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（二）政府采购情况</w:t>
      </w:r>
    </w:p>
    <w:p w:rsidR="0052058A" w:rsidRDefault="00E019B9">
      <w:pPr>
        <w:spacing w:line="360" w:lineRule="auto"/>
        <w:ind w:firstLineChars="200" w:firstLine="640"/>
        <w:jc w:val="left"/>
        <w:rPr>
          <w:rFonts w:ascii="仿宋_GB2312" w:eastAsia="仿宋_GB2312" w:cs="DengXian-Regular"/>
          <w:sz w:val="32"/>
          <w:szCs w:val="32"/>
        </w:rPr>
      </w:pPr>
      <w:r>
        <w:rPr>
          <w:rFonts w:ascii="仿宋_GB2312" w:eastAsia="仿宋_GB2312" w:cs="DengXian-Regular" w:hint="eastAsia"/>
          <w:sz w:val="32"/>
          <w:szCs w:val="32"/>
        </w:rPr>
        <w:t>本部门2018年度政府采购支出总额128.78万元，从采购类型来看，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 万元、政府采购工程支出</w:t>
      </w:r>
      <w:r>
        <w:rPr>
          <w:rFonts w:ascii="仿宋_GB2312" w:eastAsia="仿宋_GB2312" w:hAnsi="仿宋_GB2312" w:cs="仿宋_GB2312" w:hint="eastAsia"/>
          <w:color w:val="000000"/>
          <w:kern w:val="0"/>
          <w:sz w:val="32"/>
          <w:szCs w:val="32"/>
        </w:rPr>
        <w:t>128.78</w:t>
      </w:r>
      <w:r>
        <w:rPr>
          <w:rFonts w:ascii="仿宋_GB2312" w:eastAsia="仿宋_GB2312" w:hAnsi="仿宋_GB2312" w:cs="仿宋_GB2312"/>
          <w:color w:val="000000"/>
          <w:kern w:val="0"/>
          <w:sz w:val="32"/>
          <w:szCs w:val="32"/>
        </w:rPr>
        <w:t xml:space="preserve">万元、政府采购服务支出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其中授予小</w:t>
      </w:r>
      <w:proofErr w:type="gramStart"/>
      <w:r>
        <w:rPr>
          <w:rFonts w:ascii="仿宋_GB2312" w:eastAsia="仿宋_GB2312" w:hAnsi="仿宋_GB2312" w:cs="仿宋_GB2312"/>
          <w:color w:val="000000"/>
          <w:kern w:val="0"/>
          <w:sz w:val="32"/>
          <w:szCs w:val="32"/>
        </w:rPr>
        <w:t>微企业</w:t>
      </w:r>
      <w:proofErr w:type="gramEnd"/>
      <w:r>
        <w:rPr>
          <w:rFonts w:ascii="仿宋_GB2312" w:eastAsia="仿宋_GB2312" w:hAnsi="仿宋_GB2312" w:cs="仿宋_GB2312"/>
          <w:color w:val="000000"/>
          <w:kern w:val="0"/>
          <w:sz w:val="32"/>
          <w:szCs w:val="32"/>
        </w:rPr>
        <w:t>合同金额</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0</w:t>
      </w:r>
      <w:r>
        <w:rPr>
          <w:rFonts w:ascii="仿宋_GB2312" w:eastAsia="仿宋_GB2312" w:hAnsi="仿宋_GB2312" w:cs="仿宋_GB2312"/>
          <w:color w:val="000000"/>
          <w:kern w:val="0"/>
          <w:sz w:val="32"/>
          <w:szCs w:val="32"/>
        </w:rPr>
        <w:t>%。</w:t>
      </w:r>
    </w:p>
    <w:p w:rsidR="0052058A" w:rsidRDefault="00E019B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（三）国有资产占用情况</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截至2018年12月31日，本部门共有车辆15辆，比上年减少4辆，主要是因为统战部独立决算，调出车辆3辆，年底本单位调出车辆2辆，增加接待办车辆1辆。其中，副部（省）级及以上领导用车0辆，主要领导干部用车0辆，机要通信用车13辆，应急保障用车1辆，执法执勤用车0辆，特种专业技术用车0辆，离退休干部用车1辆，其他用车0辆；单位价值</w:t>
      </w:r>
      <w:r>
        <w:rPr>
          <w:rFonts w:ascii="仿宋_GB2312" w:eastAsia="仿宋_GB2312" w:hAnsi="TimesNewRomanPSMT" w:cs="TimesNewRomanPSMT" w:hint="eastAsia"/>
          <w:sz w:val="32"/>
          <w:szCs w:val="32"/>
        </w:rPr>
        <w:t>50</w:t>
      </w:r>
      <w:r>
        <w:rPr>
          <w:rFonts w:ascii="仿宋_GB2312" w:eastAsia="仿宋_GB2312" w:cs="DengXian-Regular" w:hint="eastAsia"/>
          <w:sz w:val="32"/>
          <w:szCs w:val="32"/>
        </w:rPr>
        <w:t>万元以上通用设备0台（套），与上年无增减，单位价值</w:t>
      </w:r>
      <w:r>
        <w:rPr>
          <w:rFonts w:ascii="仿宋_GB2312" w:eastAsia="仿宋_GB2312" w:hAnsi="TimesNewRomanPSMT" w:cs="TimesNewRomanPSMT" w:hint="eastAsia"/>
          <w:sz w:val="32"/>
          <w:szCs w:val="32"/>
        </w:rPr>
        <w:t>100</w:t>
      </w:r>
      <w:r>
        <w:rPr>
          <w:rFonts w:ascii="仿宋_GB2312" w:eastAsia="仿宋_GB2312" w:cs="DengXian-Regular" w:hint="eastAsia"/>
          <w:sz w:val="32"/>
          <w:szCs w:val="32"/>
        </w:rPr>
        <w:t>万元以上专用设备1台（套）比上年增加1套,主要是县委南楼楼顶广告牌LED费用。</w:t>
      </w:r>
    </w:p>
    <w:tbl>
      <w:tblPr>
        <w:tblW w:w="9200" w:type="dxa"/>
        <w:tblInd w:w="-207" w:type="dxa"/>
        <w:tblLayout w:type="fixed"/>
        <w:tblLook w:val="04A0"/>
      </w:tblPr>
      <w:tblGrid>
        <w:gridCol w:w="3749"/>
        <w:gridCol w:w="2081"/>
        <w:gridCol w:w="3370"/>
      </w:tblGrid>
      <w:tr w:rsidR="0052058A">
        <w:trPr>
          <w:trHeight w:val="575"/>
        </w:trPr>
        <w:tc>
          <w:tcPr>
            <w:tcW w:w="9200" w:type="dxa"/>
            <w:gridSpan w:val="3"/>
            <w:tcBorders>
              <w:top w:val="nil"/>
              <w:left w:val="nil"/>
              <w:bottom w:val="nil"/>
              <w:right w:val="nil"/>
            </w:tcBorders>
            <w:vAlign w:val="center"/>
          </w:tcPr>
          <w:p w:rsidR="0052058A" w:rsidRDefault="00E019B9">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中国共产党大厂回族自治县委员会办公室</w:t>
            </w:r>
          </w:p>
          <w:p w:rsidR="0052058A" w:rsidRDefault="00E019B9">
            <w:pPr>
              <w:widowControl/>
              <w:spacing w:line="520" w:lineRule="exact"/>
              <w:jc w:val="center"/>
              <w:rPr>
                <w:rFonts w:ascii="宋体" w:hAnsi="宋体" w:cs="宋体"/>
                <w:b/>
                <w:bCs/>
                <w:kern w:val="0"/>
                <w:sz w:val="28"/>
                <w:szCs w:val="28"/>
              </w:rPr>
            </w:pPr>
            <w:r>
              <w:rPr>
                <w:rFonts w:ascii="宋体" w:hAnsi="宋体" w:cs="宋体" w:hint="eastAsia"/>
                <w:b/>
                <w:bCs/>
                <w:kern w:val="0"/>
                <w:sz w:val="28"/>
                <w:szCs w:val="28"/>
              </w:rPr>
              <w:t>固定资产占用情况表</w:t>
            </w:r>
          </w:p>
        </w:tc>
      </w:tr>
      <w:tr w:rsidR="0052058A">
        <w:trPr>
          <w:trHeight w:val="493"/>
        </w:trPr>
        <w:tc>
          <w:tcPr>
            <w:tcW w:w="5830" w:type="dxa"/>
            <w:gridSpan w:val="2"/>
            <w:tcBorders>
              <w:top w:val="nil"/>
              <w:left w:val="nil"/>
              <w:bottom w:val="nil"/>
              <w:right w:val="nil"/>
            </w:tcBorders>
            <w:vAlign w:val="center"/>
          </w:tcPr>
          <w:p w:rsidR="0052058A" w:rsidRDefault="00E019B9">
            <w:pPr>
              <w:widowControl/>
              <w:spacing w:line="520" w:lineRule="exact"/>
              <w:jc w:val="left"/>
              <w:rPr>
                <w:kern w:val="0"/>
                <w:sz w:val="22"/>
              </w:rPr>
            </w:pPr>
            <w:r>
              <w:rPr>
                <w:rFonts w:ascii="宋体" w:hAnsi="宋体" w:cs="宋体" w:hint="eastAsia"/>
                <w:kern w:val="0"/>
                <w:sz w:val="22"/>
              </w:rPr>
              <w:lastRenderedPageBreak/>
              <w:t>编制部门：中国共产党大厂回族自治县委员会办公室（本级）</w:t>
            </w:r>
          </w:p>
        </w:tc>
        <w:tc>
          <w:tcPr>
            <w:tcW w:w="3370" w:type="dxa"/>
            <w:tcBorders>
              <w:top w:val="nil"/>
              <w:left w:val="nil"/>
              <w:bottom w:val="nil"/>
              <w:right w:val="nil"/>
            </w:tcBorders>
            <w:vAlign w:val="center"/>
          </w:tcPr>
          <w:p w:rsidR="0052058A" w:rsidRDefault="00E019B9">
            <w:pPr>
              <w:widowControl/>
              <w:spacing w:line="520" w:lineRule="exact"/>
              <w:jc w:val="left"/>
              <w:rPr>
                <w:kern w:val="0"/>
                <w:sz w:val="22"/>
              </w:rPr>
            </w:pPr>
            <w:r>
              <w:rPr>
                <w:kern w:val="0"/>
                <w:sz w:val="22"/>
              </w:rPr>
              <w:t>截</w:t>
            </w:r>
            <w:r w:rsidR="008638C7">
              <w:rPr>
                <w:rFonts w:hint="eastAsia"/>
                <w:kern w:val="0"/>
                <w:sz w:val="22"/>
              </w:rPr>
              <w:t>止</w:t>
            </w:r>
            <w:r>
              <w:rPr>
                <w:kern w:val="0"/>
                <w:sz w:val="22"/>
              </w:rPr>
              <w:t>时间：</w:t>
            </w:r>
            <w:r>
              <w:rPr>
                <w:kern w:val="0"/>
                <w:sz w:val="22"/>
              </w:rPr>
              <w:t>201</w:t>
            </w:r>
            <w:r>
              <w:rPr>
                <w:rFonts w:hint="eastAsia"/>
                <w:kern w:val="0"/>
                <w:sz w:val="22"/>
              </w:rPr>
              <w:t>8</w:t>
            </w:r>
            <w:r>
              <w:rPr>
                <w:kern w:val="0"/>
                <w:sz w:val="22"/>
              </w:rPr>
              <w:t>年</w:t>
            </w:r>
            <w:r>
              <w:rPr>
                <w:kern w:val="0"/>
                <w:sz w:val="22"/>
              </w:rPr>
              <w:t>12</w:t>
            </w:r>
            <w:r>
              <w:rPr>
                <w:kern w:val="0"/>
                <w:sz w:val="22"/>
              </w:rPr>
              <w:t>月</w:t>
            </w:r>
            <w:r>
              <w:rPr>
                <w:kern w:val="0"/>
                <w:sz w:val="22"/>
              </w:rPr>
              <w:t>31</w:t>
            </w:r>
            <w:r>
              <w:rPr>
                <w:kern w:val="0"/>
                <w:sz w:val="22"/>
              </w:rPr>
              <w:t>日</w:t>
            </w:r>
            <w:r>
              <w:rPr>
                <w:kern w:val="0"/>
                <w:sz w:val="22"/>
              </w:rPr>
              <w:t xml:space="preserve">  </w:t>
            </w:r>
          </w:p>
        </w:tc>
      </w:tr>
      <w:tr w:rsidR="0052058A">
        <w:trPr>
          <w:trHeight w:val="571"/>
        </w:trPr>
        <w:tc>
          <w:tcPr>
            <w:tcW w:w="3749" w:type="dxa"/>
            <w:tcBorders>
              <w:top w:val="single" w:sz="4" w:space="0" w:color="auto"/>
              <w:left w:val="single" w:sz="4" w:space="0" w:color="auto"/>
              <w:bottom w:val="single" w:sz="4" w:space="0" w:color="auto"/>
              <w:right w:val="single" w:sz="4" w:space="0" w:color="auto"/>
            </w:tcBorders>
            <w:vAlign w:val="center"/>
          </w:tcPr>
          <w:p w:rsidR="0052058A" w:rsidRDefault="00E019B9">
            <w:pPr>
              <w:widowControl/>
              <w:spacing w:line="520" w:lineRule="exact"/>
              <w:jc w:val="center"/>
              <w:rPr>
                <w:b/>
                <w:bCs/>
                <w:kern w:val="0"/>
                <w:sz w:val="22"/>
              </w:rPr>
            </w:pPr>
            <w:r>
              <w:rPr>
                <w:b/>
                <w:bCs/>
                <w:kern w:val="0"/>
                <w:sz w:val="22"/>
              </w:rPr>
              <w:t>项</w:t>
            </w:r>
            <w:r>
              <w:rPr>
                <w:b/>
                <w:bCs/>
                <w:kern w:val="0"/>
                <w:sz w:val="22"/>
              </w:rPr>
              <w:t xml:space="preserve">   </w:t>
            </w:r>
            <w:r>
              <w:rPr>
                <w:b/>
                <w:bCs/>
                <w:kern w:val="0"/>
                <w:sz w:val="22"/>
              </w:rPr>
              <w:t>目</w:t>
            </w:r>
          </w:p>
        </w:tc>
        <w:tc>
          <w:tcPr>
            <w:tcW w:w="2081" w:type="dxa"/>
            <w:tcBorders>
              <w:top w:val="single" w:sz="4" w:space="0" w:color="auto"/>
              <w:left w:val="nil"/>
              <w:bottom w:val="single" w:sz="4" w:space="0" w:color="auto"/>
              <w:right w:val="single" w:sz="4" w:space="0" w:color="auto"/>
            </w:tcBorders>
            <w:vAlign w:val="center"/>
          </w:tcPr>
          <w:p w:rsidR="0052058A" w:rsidRDefault="00E019B9">
            <w:pPr>
              <w:widowControl/>
              <w:spacing w:line="520" w:lineRule="exact"/>
              <w:jc w:val="center"/>
              <w:rPr>
                <w:b/>
                <w:bCs/>
                <w:kern w:val="0"/>
                <w:sz w:val="22"/>
              </w:rPr>
            </w:pPr>
            <w:r>
              <w:rPr>
                <w:b/>
                <w:bCs/>
                <w:kern w:val="0"/>
                <w:sz w:val="22"/>
              </w:rPr>
              <w:t>数量</w:t>
            </w:r>
          </w:p>
        </w:tc>
        <w:tc>
          <w:tcPr>
            <w:tcW w:w="3370" w:type="dxa"/>
            <w:tcBorders>
              <w:top w:val="single" w:sz="4" w:space="0" w:color="auto"/>
              <w:left w:val="nil"/>
              <w:bottom w:val="single" w:sz="4" w:space="0" w:color="auto"/>
              <w:right w:val="single" w:sz="4" w:space="0" w:color="auto"/>
            </w:tcBorders>
            <w:vAlign w:val="center"/>
          </w:tcPr>
          <w:p w:rsidR="0052058A" w:rsidRDefault="00E019B9">
            <w:pPr>
              <w:widowControl/>
              <w:spacing w:line="520" w:lineRule="exact"/>
              <w:jc w:val="center"/>
              <w:rPr>
                <w:b/>
                <w:bCs/>
                <w:kern w:val="0"/>
                <w:sz w:val="22"/>
              </w:rPr>
            </w:pPr>
            <w:r>
              <w:rPr>
                <w:b/>
                <w:bCs/>
                <w:kern w:val="0"/>
                <w:sz w:val="22"/>
              </w:rPr>
              <w:t>价值（金额单位：万元）</w:t>
            </w:r>
          </w:p>
        </w:tc>
      </w:tr>
      <w:tr w:rsidR="0052058A">
        <w:trPr>
          <w:trHeight w:val="485"/>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资产总额</w:t>
            </w:r>
          </w:p>
        </w:tc>
        <w:tc>
          <w:tcPr>
            <w:tcW w:w="2081"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kern w:val="0"/>
                <w:sz w:val="22"/>
              </w:rPr>
              <w:t>——</w:t>
            </w: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925.37</w:t>
            </w:r>
          </w:p>
        </w:tc>
      </w:tr>
      <w:tr w:rsidR="0052058A">
        <w:trPr>
          <w:trHeight w:val="575"/>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left"/>
              <w:rPr>
                <w:kern w:val="0"/>
                <w:sz w:val="22"/>
              </w:rPr>
            </w:pPr>
            <w:r>
              <w:rPr>
                <w:rFonts w:hint="eastAsia"/>
                <w:kern w:val="0"/>
                <w:sz w:val="22"/>
              </w:rPr>
              <w:t>1</w:t>
            </w:r>
            <w:r>
              <w:rPr>
                <w:rFonts w:hint="eastAsia"/>
                <w:kern w:val="0"/>
                <w:sz w:val="22"/>
              </w:rPr>
              <w:t>、房屋（平方米）</w:t>
            </w:r>
          </w:p>
        </w:tc>
        <w:tc>
          <w:tcPr>
            <w:tcW w:w="2081"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4620</w:t>
            </w: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156.28</w:t>
            </w:r>
          </w:p>
        </w:tc>
      </w:tr>
      <w:tr w:rsidR="0052058A">
        <w:trPr>
          <w:trHeight w:val="560"/>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left"/>
              <w:rPr>
                <w:kern w:val="0"/>
                <w:sz w:val="22"/>
              </w:rPr>
            </w:pPr>
            <w:r>
              <w:rPr>
                <w:kern w:val="0"/>
                <w:sz w:val="22"/>
              </w:rPr>
              <w:t xml:space="preserve">  </w:t>
            </w:r>
            <w:r>
              <w:rPr>
                <w:rFonts w:hint="eastAsia"/>
                <w:kern w:val="0"/>
                <w:sz w:val="22"/>
              </w:rPr>
              <w:t xml:space="preserve">  </w:t>
            </w:r>
            <w:r>
              <w:rPr>
                <w:rFonts w:hint="eastAsia"/>
                <w:kern w:val="0"/>
                <w:sz w:val="22"/>
              </w:rPr>
              <w:t>其中：办公用房（平方米）</w:t>
            </w:r>
          </w:p>
        </w:tc>
        <w:tc>
          <w:tcPr>
            <w:tcW w:w="2081"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4620</w:t>
            </w: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156.28</w:t>
            </w:r>
          </w:p>
        </w:tc>
      </w:tr>
      <w:tr w:rsidR="0052058A">
        <w:trPr>
          <w:trHeight w:val="500"/>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left"/>
              <w:rPr>
                <w:kern w:val="0"/>
                <w:sz w:val="22"/>
              </w:rPr>
            </w:pPr>
            <w:r>
              <w:rPr>
                <w:rFonts w:hint="eastAsia"/>
                <w:kern w:val="0"/>
                <w:sz w:val="22"/>
              </w:rPr>
              <w:t>2</w:t>
            </w:r>
            <w:r>
              <w:rPr>
                <w:rFonts w:hint="eastAsia"/>
                <w:kern w:val="0"/>
                <w:sz w:val="22"/>
              </w:rPr>
              <w:t>、车辆（台、辆）</w:t>
            </w:r>
          </w:p>
        </w:tc>
        <w:tc>
          <w:tcPr>
            <w:tcW w:w="2081"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15</w:t>
            </w: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269.28</w:t>
            </w:r>
          </w:p>
        </w:tc>
      </w:tr>
      <w:tr w:rsidR="0052058A">
        <w:trPr>
          <w:trHeight w:val="575"/>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left"/>
              <w:rPr>
                <w:kern w:val="0"/>
                <w:sz w:val="22"/>
              </w:rPr>
            </w:pPr>
            <w:r>
              <w:rPr>
                <w:rFonts w:hint="eastAsia"/>
                <w:kern w:val="0"/>
                <w:sz w:val="22"/>
              </w:rPr>
              <w:t>3</w:t>
            </w:r>
            <w:r>
              <w:rPr>
                <w:rFonts w:hint="eastAsia"/>
                <w:kern w:val="0"/>
                <w:sz w:val="22"/>
              </w:rPr>
              <w:t>、单价在</w:t>
            </w:r>
            <w:r>
              <w:rPr>
                <w:rFonts w:hint="eastAsia"/>
                <w:kern w:val="0"/>
                <w:sz w:val="22"/>
              </w:rPr>
              <w:t>50</w:t>
            </w:r>
            <w:r>
              <w:rPr>
                <w:rFonts w:hint="eastAsia"/>
                <w:kern w:val="0"/>
                <w:sz w:val="22"/>
              </w:rPr>
              <w:t>万元以上的设备</w:t>
            </w:r>
          </w:p>
        </w:tc>
        <w:tc>
          <w:tcPr>
            <w:tcW w:w="2081"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1</w:t>
            </w: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117.12</w:t>
            </w:r>
          </w:p>
        </w:tc>
      </w:tr>
      <w:tr w:rsidR="0052058A">
        <w:trPr>
          <w:trHeight w:val="510"/>
        </w:trPr>
        <w:tc>
          <w:tcPr>
            <w:tcW w:w="3749" w:type="dxa"/>
            <w:tcBorders>
              <w:top w:val="nil"/>
              <w:left w:val="single" w:sz="4" w:space="0" w:color="auto"/>
              <w:bottom w:val="single" w:sz="4" w:space="0" w:color="auto"/>
              <w:right w:val="single" w:sz="4" w:space="0" w:color="auto"/>
            </w:tcBorders>
            <w:vAlign w:val="center"/>
          </w:tcPr>
          <w:p w:rsidR="0052058A" w:rsidRDefault="00E019B9">
            <w:pPr>
              <w:widowControl/>
              <w:spacing w:line="520" w:lineRule="exact"/>
              <w:jc w:val="left"/>
              <w:rPr>
                <w:kern w:val="0"/>
                <w:sz w:val="22"/>
              </w:rPr>
            </w:pPr>
            <w:r>
              <w:rPr>
                <w:rFonts w:hint="eastAsia"/>
                <w:kern w:val="0"/>
                <w:sz w:val="22"/>
              </w:rPr>
              <w:t>4</w:t>
            </w:r>
            <w:r>
              <w:rPr>
                <w:rFonts w:hint="eastAsia"/>
                <w:kern w:val="0"/>
                <w:sz w:val="22"/>
              </w:rPr>
              <w:t>、其他固定资产</w:t>
            </w:r>
          </w:p>
        </w:tc>
        <w:tc>
          <w:tcPr>
            <w:tcW w:w="2081" w:type="dxa"/>
            <w:tcBorders>
              <w:top w:val="nil"/>
              <w:left w:val="nil"/>
              <w:bottom w:val="single" w:sz="4" w:space="0" w:color="auto"/>
              <w:right w:val="single" w:sz="4" w:space="0" w:color="auto"/>
            </w:tcBorders>
            <w:vAlign w:val="center"/>
          </w:tcPr>
          <w:p w:rsidR="0052058A" w:rsidRDefault="0052058A">
            <w:pPr>
              <w:widowControl/>
              <w:spacing w:line="520" w:lineRule="exact"/>
              <w:jc w:val="center"/>
              <w:rPr>
                <w:kern w:val="0"/>
                <w:sz w:val="22"/>
              </w:rPr>
            </w:pPr>
          </w:p>
        </w:tc>
        <w:tc>
          <w:tcPr>
            <w:tcW w:w="3370" w:type="dxa"/>
            <w:tcBorders>
              <w:top w:val="nil"/>
              <w:left w:val="nil"/>
              <w:bottom w:val="single" w:sz="4" w:space="0" w:color="auto"/>
              <w:right w:val="single" w:sz="4" w:space="0" w:color="auto"/>
            </w:tcBorders>
            <w:vAlign w:val="center"/>
          </w:tcPr>
          <w:p w:rsidR="0052058A" w:rsidRDefault="00E019B9">
            <w:pPr>
              <w:widowControl/>
              <w:spacing w:line="520" w:lineRule="exact"/>
              <w:jc w:val="center"/>
              <w:rPr>
                <w:kern w:val="0"/>
                <w:sz w:val="22"/>
              </w:rPr>
            </w:pPr>
            <w:r>
              <w:rPr>
                <w:rFonts w:hint="eastAsia"/>
                <w:kern w:val="0"/>
                <w:sz w:val="22"/>
              </w:rPr>
              <w:t>382.69</w:t>
            </w:r>
          </w:p>
        </w:tc>
      </w:tr>
    </w:tbl>
    <w:p w:rsidR="0052058A" w:rsidRDefault="00E019B9">
      <w:pPr>
        <w:adjustRightInd w:val="0"/>
        <w:snapToGrid w:val="0"/>
        <w:spacing w:after="0" w:line="580" w:lineRule="exact"/>
        <w:rPr>
          <w:rFonts w:ascii="仿宋_GB2312" w:eastAsia="仿宋_GB2312" w:cs="DengXian-Regular"/>
          <w:sz w:val="28"/>
          <w:szCs w:val="28"/>
        </w:rPr>
      </w:pPr>
      <w:r>
        <w:rPr>
          <w:rFonts w:ascii="仿宋_GB2312" w:eastAsia="仿宋_GB2312" w:cs="DengXian-Regular" w:hint="eastAsia"/>
          <w:sz w:val="28"/>
          <w:szCs w:val="28"/>
        </w:rPr>
        <w:t>从档案中找到原始办公用房面积为4620平方米，2017年决算为4920平方米，由于食堂300平米重复记账，2018年决算予以订正。</w:t>
      </w:r>
    </w:p>
    <w:p w:rsidR="0052058A" w:rsidRDefault="00E019B9">
      <w:pPr>
        <w:pStyle w:val="3"/>
        <w:spacing w:before="0" w:after="0" w:line="580" w:lineRule="exact"/>
        <w:ind w:firstLineChars="200" w:firstLine="643"/>
        <w:rPr>
          <w:rFonts w:ascii="楷体_GB2312" w:eastAsia="楷体_GB2312" w:cs="DengXian-Bold"/>
        </w:rPr>
      </w:pPr>
      <w:r>
        <w:rPr>
          <w:rFonts w:ascii="楷体_GB2312" w:eastAsia="楷体_GB2312" w:cs="DengXian-Bold" w:hint="eastAsia"/>
        </w:rPr>
        <w:t>（四）其他需要说明的情况</w:t>
      </w:r>
    </w:p>
    <w:p w:rsidR="0052058A" w:rsidRDefault="00E019B9">
      <w:pPr>
        <w:adjustRightInd w:val="0"/>
        <w:snapToGrid w:val="0"/>
        <w:spacing w:after="0"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1、本部门2018年度</w:t>
      </w:r>
      <w:r>
        <w:rPr>
          <w:rFonts w:ascii="仿宋_GB2312" w:eastAsia="仿宋_GB2312" w:cs="DengXian-Regular" w:hint="eastAsia"/>
          <w:sz w:val="32"/>
          <w:szCs w:val="32"/>
        </w:rPr>
        <w:t>无</w:t>
      </w:r>
      <w:r>
        <w:rPr>
          <w:rFonts w:ascii="仿宋_GB2312" w:eastAsia="仿宋_GB2312" w:hAnsi="仿宋_GB2312" w:cs="仿宋_GB2312" w:hint="eastAsia"/>
          <w:color w:val="000000"/>
          <w:kern w:val="0"/>
          <w:sz w:val="32"/>
          <w:szCs w:val="32"/>
        </w:rPr>
        <w:t>政府性基金预算财政拨款</w:t>
      </w:r>
      <w:r>
        <w:rPr>
          <w:rFonts w:ascii="仿宋_GB2312" w:eastAsia="仿宋_GB2312" w:cs="DengXian-Regular" w:hint="eastAsia"/>
          <w:sz w:val="32"/>
          <w:szCs w:val="32"/>
        </w:rPr>
        <w:t>收支及结转结余情况</w:t>
      </w:r>
      <w:r>
        <w:rPr>
          <w:rFonts w:ascii="仿宋_GB2312" w:eastAsia="仿宋_GB2312" w:hAnsi="仿宋_GB2312" w:cs="仿宋_GB2312" w:hint="eastAsia"/>
          <w:color w:val="000000"/>
          <w:kern w:val="0"/>
          <w:sz w:val="32"/>
          <w:szCs w:val="32"/>
        </w:rPr>
        <w:t>、无国有资本经营预算财政拨款支出情况</w:t>
      </w:r>
      <w:r>
        <w:rPr>
          <w:rFonts w:ascii="仿宋_GB2312" w:eastAsia="仿宋_GB2312" w:hAnsi="仿宋_GB2312" w:cs="仿宋_GB2312" w:hint="eastAsia"/>
          <w:sz w:val="32"/>
          <w:szCs w:val="32"/>
        </w:rPr>
        <w:t>，故</w:t>
      </w:r>
      <w:r>
        <w:rPr>
          <w:rFonts w:ascii="仿宋_GB2312" w:eastAsia="仿宋_GB2312" w:hAnsi="仿宋_GB2312" w:cs="仿宋_GB2312" w:hint="eastAsia"/>
          <w:color w:val="000000"/>
          <w:kern w:val="0"/>
          <w:sz w:val="32"/>
          <w:szCs w:val="32"/>
        </w:rPr>
        <w:t>政府性基金预算财政拨款收入支出决算表、国有资本经营预算财政拨款支出决算表</w:t>
      </w:r>
      <w:r>
        <w:rPr>
          <w:rFonts w:ascii="仿宋_GB2312" w:eastAsia="仿宋_GB2312" w:hAnsi="仿宋_GB2312" w:cs="仿宋_GB2312" w:hint="eastAsia"/>
          <w:sz w:val="32"/>
          <w:szCs w:val="32"/>
        </w:rPr>
        <w:t>以空表列示。</w:t>
      </w:r>
    </w:p>
    <w:p w:rsidR="0052058A" w:rsidRDefault="00E019B9">
      <w:pPr>
        <w:adjustRightInd w:val="0"/>
        <w:snapToGrid w:val="0"/>
        <w:spacing w:after="0" w:line="580" w:lineRule="exact"/>
        <w:ind w:firstLineChars="200" w:firstLine="640"/>
        <w:rPr>
          <w:rFonts w:ascii="仿宋_GB2312" w:eastAsia="仿宋_GB2312" w:cs="DengXian-Regular"/>
          <w:sz w:val="32"/>
          <w:szCs w:val="32"/>
        </w:rPr>
      </w:pPr>
      <w:r>
        <w:rPr>
          <w:rFonts w:ascii="仿宋_GB2312" w:eastAsia="仿宋_GB2312" w:cs="DengXian-Regular" w:hint="eastAsia"/>
          <w:sz w:val="32"/>
          <w:szCs w:val="32"/>
        </w:rPr>
        <w:t>2、由于决算公开表格中金额数值应当保留两位小数，公开数据为四舍五入计算结果，个别数据合计项与分项之和存在小数点后差额，特此说明。</w:t>
      </w:r>
      <w:bookmarkStart w:id="0" w:name="_GoBack"/>
      <w:bookmarkEnd w:id="0"/>
    </w:p>
    <w:p w:rsidR="0052058A" w:rsidRDefault="0052058A">
      <w:pPr>
        <w:widowControl/>
        <w:spacing w:after="0" w:line="580" w:lineRule="exact"/>
        <w:ind w:firstLineChars="200" w:firstLine="883"/>
        <w:jc w:val="left"/>
        <w:rPr>
          <w:rFonts w:asciiTheme="majorEastAsia" w:eastAsiaTheme="majorEastAsia" w:hAnsiTheme="majorEastAsia" w:cs="MS-UIGothic,Bold"/>
          <w:b/>
          <w:bCs/>
          <w:kern w:val="0"/>
          <w:sz w:val="44"/>
          <w:szCs w:val="44"/>
        </w:rPr>
        <w:sectPr w:rsidR="0052058A">
          <w:pgSz w:w="11906" w:h="16838"/>
          <w:pgMar w:top="2098" w:right="1474" w:bottom="1984" w:left="1588" w:header="851" w:footer="992" w:gutter="0"/>
          <w:cols w:space="0"/>
          <w:docGrid w:type="lines" w:linePitch="312"/>
        </w:sect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52058A">
      <w:pPr>
        <w:widowControl/>
        <w:spacing w:line="1200" w:lineRule="exact"/>
        <w:jc w:val="center"/>
        <w:rPr>
          <w:rFonts w:asciiTheme="minorEastAsia" w:eastAsiaTheme="minorEastAsia" w:hAnsi="宋体"/>
          <w:color w:val="000000" w:themeColor="text1"/>
          <w:sz w:val="96"/>
          <w:szCs w:val="96"/>
        </w:rPr>
      </w:pPr>
    </w:p>
    <w:p w:rsidR="0052058A" w:rsidRDefault="00E019B9">
      <w:pPr>
        <w:widowControl/>
        <w:spacing w:line="1200" w:lineRule="exact"/>
        <w:jc w:val="center"/>
        <w:rPr>
          <w:rFonts w:asciiTheme="minorEastAsia" w:eastAsiaTheme="minorEastAsia" w:hAnsi="宋体"/>
          <w:color w:val="000000" w:themeColor="text1"/>
          <w:sz w:val="96"/>
          <w:szCs w:val="96"/>
        </w:rPr>
      </w:pPr>
      <w:r>
        <w:rPr>
          <w:rFonts w:asciiTheme="minorEastAsia" w:eastAsiaTheme="minorEastAsia" w:hAnsi="宋体" w:hint="eastAsia"/>
          <w:color w:val="000000" w:themeColor="text1"/>
          <w:sz w:val="96"/>
          <w:szCs w:val="96"/>
        </w:rPr>
        <w:t>第四部分</w:t>
      </w:r>
    </w:p>
    <w:p w:rsidR="0052058A" w:rsidRDefault="00E019B9">
      <w:pPr>
        <w:widowControl/>
        <w:spacing w:line="1200" w:lineRule="exact"/>
        <w:jc w:val="center"/>
        <w:rPr>
          <w:color w:val="000000" w:themeColor="text1"/>
          <w:sz w:val="96"/>
          <w:szCs w:val="96"/>
        </w:rPr>
      </w:pPr>
      <w:r>
        <w:rPr>
          <w:rFonts w:asciiTheme="minorEastAsia" w:eastAsiaTheme="minorEastAsia" w:hAnsi="宋体" w:hint="eastAsia"/>
          <w:color w:val="000000" w:themeColor="text1"/>
          <w:sz w:val="96"/>
          <w:szCs w:val="96"/>
        </w:rPr>
        <w:t>名词解释</w:t>
      </w:r>
    </w:p>
    <w:p w:rsidR="0052058A" w:rsidRDefault="0052058A">
      <w:pPr>
        <w:rPr>
          <w:rFonts w:ascii="宋体" w:hAnsi="宋体" w:cs="ArialUnicodeMS"/>
          <w:color w:val="000000"/>
          <w:kern w:val="0"/>
        </w:rPr>
        <w:sectPr w:rsidR="0052058A">
          <w:pgSz w:w="11906" w:h="16838"/>
          <w:pgMar w:top="2098" w:right="1474" w:bottom="1984" w:left="1588" w:header="851" w:footer="992" w:gutter="0"/>
          <w:cols w:space="0"/>
          <w:docGrid w:type="lines" w:linePitch="312"/>
        </w:sectPr>
      </w:pP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（一）财政拨款收入：</w:t>
      </w:r>
      <w:r>
        <w:rPr>
          <w:rFonts w:ascii="仿宋_GB2312" w:eastAsia="仿宋_GB2312" w:hAnsiTheme="majorEastAsia" w:hint="eastAsia"/>
          <w:color w:val="000000"/>
          <w:kern w:val="0"/>
          <w:sz w:val="32"/>
          <w:szCs w:val="32"/>
        </w:rPr>
        <w:t>本年度从本级财政部门取得的财政拨款，包括一般公共预算财政拨款和政府性基金预算财政拨款。</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（二）事业收入：</w:t>
      </w:r>
      <w:r>
        <w:rPr>
          <w:rFonts w:ascii="仿宋_GB2312" w:eastAsia="仿宋_GB2312" w:hAnsiTheme="majorEastAsia" w:hint="eastAsia"/>
          <w:color w:val="000000"/>
          <w:kern w:val="0"/>
          <w:sz w:val="32"/>
          <w:szCs w:val="32"/>
        </w:rPr>
        <w:t>指事业单位开展专业业务活动及辅助活动所取得的收入。</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（三）其他收入：</w:t>
      </w:r>
      <w:r>
        <w:rPr>
          <w:rFonts w:ascii="仿宋_GB2312" w:eastAsia="仿宋_GB2312" w:hAnsiTheme="majorEastAsia" w:hint="eastAsia"/>
          <w:color w:val="000000"/>
          <w:kern w:val="0"/>
          <w:sz w:val="32"/>
          <w:szCs w:val="32"/>
        </w:rPr>
        <w:t>指除上述“财政拨款收入”“事业收入”“经营收入”等以外的收入。</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（四）用事业基金弥补收支差额：</w:t>
      </w:r>
      <w:r>
        <w:rPr>
          <w:rFonts w:ascii="仿宋_GB2312" w:eastAsia="仿宋_GB2312" w:hAnsiTheme="majorEastAsia"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（五）年初结转和结余：</w:t>
      </w:r>
      <w:r>
        <w:rPr>
          <w:rFonts w:ascii="仿宋_GB2312" w:eastAsia="仿宋_GB2312" w:hAnsiTheme="majorEastAsia" w:hint="eastAsia"/>
          <w:color w:val="000000"/>
          <w:kern w:val="0"/>
          <w:sz w:val="32"/>
          <w:szCs w:val="32"/>
        </w:rPr>
        <w:t>指以前年度尚未完成、结转到本年仍按原规定用途继续使用的资金，或项目已完成等产生的结余资金。</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（六）结余分配：</w:t>
      </w:r>
      <w:r>
        <w:rPr>
          <w:rFonts w:ascii="仿宋_GB2312" w:eastAsia="仿宋_GB2312" w:hAnsiTheme="majorEastAsia" w:hint="eastAsia"/>
          <w:color w:val="000000"/>
          <w:kern w:val="0"/>
          <w:sz w:val="32"/>
          <w:szCs w:val="32"/>
        </w:rPr>
        <w:t>指事业单位按照事业单位会计制度的规定从非财政补助结余中分配的事业基金和职工福利基金等。</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（七）年末结转和结余：</w:t>
      </w:r>
      <w:r>
        <w:rPr>
          <w:rFonts w:ascii="仿宋_GB2312" w:eastAsia="仿宋_GB2312" w:hAnsiTheme="majorEastAsia" w:hint="eastAsia"/>
          <w:color w:val="000000"/>
          <w:kern w:val="0"/>
          <w:sz w:val="32"/>
          <w:szCs w:val="32"/>
        </w:rPr>
        <w:t>指单位按有关规定结转到下年或以后年度继续使用的资金，或项目已完成等产生的结余资金。</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（八）基本支出：</w:t>
      </w:r>
      <w:r>
        <w:rPr>
          <w:rFonts w:ascii="仿宋_GB2312" w:eastAsia="仿宋_GB2312" w:hAnsiTheme="majorEastAsia" w:hint="eastAsia"/>
          <w:color w:val="000000"/>
          <w:kern w:val="0"/>
          <w:sz w:val="32"/>
          <w:szCs w:val="32"/>
        </w:rPr>
        <w:t>填列单位为保障机构正常运转、完成日常工作任务而发生的各项支出。</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（九）项目支出：</w:t>
      </w:r>
      <w:r>
        <w:rPr>
          <w:rFonts w:ascii="仿宋_GB2312" w:eastAsia="仿宋_GB2312" w:hAnsiTheme="majorEastAsia" w:hint="eastAsia"/>
          <w:color w:val="000000"/>
          <w:kern w:val="0"/>
          <w:sz w:val="32"/>
          <w:szCs w:val="32"/>
        </w:rPr>
        <w:t>填列单位为完成特定的行政工作任务或事业发展目标，在基本支出之外发生的各项支出</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（十）资本性支出（基本建设）：</w:t>
      </w:r>
      <w:r>
        <w:rPr>
          <w:rFonts w:ascii="仿宋_GB2312" w:eastAsia="仿宋_GB2312" w:hAnsiTheme="majorEastAsia" w:hint="eastAsia"/>
          <w:color w:val="000000"/>
          <w:kern w:val="0"/>
          <w:sz w:val="32"/>
          <w:szCs w:val="32"/>
        </w:rPr>
        <w:t>填列切块由发展改革部门安排的基本建设支出，对企业补助支出不在此科目反映。</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（十一）资本性支出：</w:t>
      </w:r>
      <w:r>
        <w:rPr>
          <w:rFonts w:ascii="仿宋_GB2312" w:eastAsia="仿宋_GB2312" w:hAnsiTheme="majorEastAsia" w:hint="eastAsia"/>
          <w:color w:val="000000"/>
          <w:kern w:val="0"/>
          <w:sz w:val="32"/>
          <w:szCs w:val="32"/>
        </w:rPr>
        <w:t>填列各单位安排的资本性支出。切块由发展改革部门安排的基本建设支出不在此科目反映。</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（十二）“三公”经费：</w:t>
      </w:r>
      <w:r>
        <w:rPr>
          <w:rFonts w:ascii="仿宋_GB2312" w:eastAsia="仿宋_GB2312" w:hAnsiTheme="majorEastAsia" w:hint="eastAsia"/>
          <w:color w:val="000000"/>
          <w:kern w:val="0"/>
          <w:sz w:val="32"/>
          <w:szCs w:val="32"/>
        </w:rPr>
        <w:t>指部门用财政拨款安排的因公出国（境）费、公务用车购置及运行费和公务接待费。其中，因公出国（境）</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单位公务出国（境）的国际旅费、国外城市间交通费、住宿费、伙食费、培训费、公杂费等支出；公务用车购置及运行</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购置税）及租用费、燃料费、维修费、过路过桥费、保险费、安全奖励费用等支出；公务接待</w:t>
      </w:r>
      <w:proofErr w:type="gramStart"/>
      <w:r>
        <w:rPr>
          <w:rFonts w:ascii="仿宋_GB2312" w:eastAsia="仿宋_GB2312" w:hAnsiTheme="majorEastAsia" w:hint="eastAsia"/>
          <w:color w:val="000000"/>
          <w:kern w:val="0"/>
          <w:sz w:val="32"/>
          <w:szCs w:val="32"/>
        </w:rPr>
        <w:t>费反映</w:t>
      </w:r>
      <w:proofErr w:type="gramEnd"/>
      <w:r>
        <w:rPr>
          <w:rFonts w:ascii="仿宋_GB2312" w:eastAsia="仿宋_GB2312" w:hAnsiTheme="majorEastAsia" w:hint="eastAsia"/>
          <w:color w:val="000000"/>
          <w:kern w:val="0"/>
          <w:sz w:val="32"/>
          <w:szCs w:val="32"/>
        </w:rPr>
        <w:t>单位按规定开支的各类公务接待（含外宾接待）支出。</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（十三）其他交通费用：</w:t>
      </w:r>
      <w:r>
        <w:rPr>
          <w:rFonts w:ascii="仿宋_GB2312" w:eastAsia="仿宋_GB2312" w:hAnsiTheme="majorEastAsia" w:hint="eastAsia"/>
          <w:color w:val="000000"/>
          <w:kern w:val="0"/>
          <w:sz w:val="32"/>
          <w:szCs w:val="32"/>
        </w:rPr>
        <w:t>填列单位除公务用车运行维护费以外的其他交通费用。如公务交通补贴、租车费用、出租车费用、飞机、船舶等的燃料费、维修费、保险费等。</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（十四）公务用车购置：</w:t>
      </w:r>
      <w:r>
        <w:rPr>
          <w:rFonts w:ascii="仿宋_GB2312" w:eastAsia="仿宋_GB2312" w:hAnsiTheme="majorEastAsia" w:hint="eastAsia"/>
          <w:color w:val="000000"/>
          <w:kern w:val="0"/>
          <w:sz w:val="32"/>
          <w:szCs w:val="32"/>
        </w:rPr>
        <w:t>填列单位公务用车购置支出（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t>（十五）其他交通工具购置：</w:t>
      </w:r>
      <w:r>
        <w:rPr>
          <w:rFonts w:ascii="仿宋_GB2312" w:eastAsia="仿宋_GB2312" w:hAnsiTheme="majorEastAsia" w:hint="eastAsia"/>
          <w:color w:val="000000"/>
          <w:kern w:val="0"/>
          <w:sz w:val="32"/>
          <w:szCs w:val="32"/>
        </w:rPr>
        <w:t>填列单位除公务用车外的其他各类交通工具（如船舶、飞机）购置支出（</w:t>
      </w:r>
      <w:proofErr w:type="gramStart"/>
      <w:r>
        <w:rPr>
          <w:rFonts w:ascii="仿宋_GB2312" w:eastAsia="仿宋_GB2312" w:hAnsiTheme="majorEastAsia" w:hint="eastAsia"/>
          <w:color w:val="000000"/>
          <w:kern w:val="0"/>
          <w:sz w:val="32"/>
          <w:szCs w:val="32"/>
        </w:rPr>
        <w:t>含车辆</w:t>
      </w:r>
      <w:proofErr w:type="gramEnd"/>
      <w:r>
        <w:rPr>
          <w:rFonts w:ascii="仿宋_GB2312" w:eastAsia="仿宋_GB2312" w:hAnsiTheme="majorEastAsia" w:hint="eastAsia"/>
          <w:color w:val="000000"/>
          <w:kern w:val="0"/>
          <w:sz w:val="32"/>
          <w:szCs w:val="32"/>
        </w:rPr>
        <w:t>购置税、牌照费）。</w:t>
      </w:r>
    </w:p>
    <w:p w:rsidR="0052058A" w:rsidRDefault="00E019B9">
      <w:pPr>
        <w:widowControl/>
        <w:spacing w:after="0" w:line="560" w:lineRule="exact"/>
        <w:ind w:firstLineChars="200" w:firstLine="643"/>
        <w:rPr>
          <w:rFonts w:ascii="仿宋_GB2312" w:eastAsia="仿宋_GB2312" w:hAnsiTheme="majorEastAsia"/>
          <w:color w:val="000000"/>
          <w:kern w:val="0"/>
          <w:sz w:val="32"/>
          <w:szCs w:val="32"/>
        </w:rPr>
      </w:pPr>
      <w:r>
        <w:rPr>
          <w:rFonts w:ascii="仿宋_GB2312" w:eastAsia="仿宋_GB2312" w:hAnsiTheme="majorEastAsia" w:hint="eastAsia"/>
          <w:b/>
          <w:bCs/>
          <w:color w:val="000000"/>
          <w:kern w:val="0"/>
          <w:sz w:val="32"/>
          <w:szCs w:val="32"/>
        </w:rPr>
        <w:lastRenderedPageBreak/>
        <w:t>（十六）机关运行经费：</w:t>
      </w:r>
      <w:r>
        <w:rPr>
          <w:rFonts w:ascii="仿宋_GB2312" w:eastAsia="仿宋_GB2312" w:hAnsiTheme="majorEastAsia"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52058A" w:rsidRDefault="00E019B9">
      <w:pPr>
        <w:widowControl/>
        <w:spacing w:after="0" w:line="560" w:lineRule="exact"/>
        <w:ind w:firstLineChars="200" w:firstLine="643"/>
        <w:rPr>
          <w:rFonts w:ascii="仿宋_GB2312" w:eastAsia="仿宋_GB2312" w:hAnsiTheme="minorHAnsi" w:cs="ArialUnicodeMS"/>
          <w:kern w:val="0"/>
          <w:sz w:val="32"/>
          <w:szCs w:val="32"/>
        </w:rPr>
      </w:pPr>
      <w:r>
        <w:rPr>
          <w:rFonts w:ascii="仿宋_GB2312" w:eastAsia="仿宋_GB2312" w:hAnsiTheme="majorEastAsia" w:hint="eastAsia"/>
          <w:b/>
          <w:bCs/>
          <w:color w:val="000000"/>
          <w:kern w:val="0"/>
          <w:sz w:val="32"/>
          <w:szCs w:val="32"/>
        </w:rPr>
        <w:t>（十七）经费形式:</w:t>
      </w:r>
      <w:r>
        <w:rPr>
          <w:rFonts w:ascii="仿宋_GB2312" w:eastAsia="仿宋_GB2312" w:hAnsiTheme="majorEastAsia" w:hint="eastAsia"/>
          <w:color w:val="000000"/>
          <w:kern w:val="0"/>
          <w:sz w:val="32"/>
          <w:szCs w:val="32"/>
        </w:rPr>
        <w:t>按照经费来源，</w:t>
      </w:r>
      <w:r>
        <w:rPr>
          <w:rFonts w:ascii="仿宋_GB2312" w:eastAsia="仿宋_GB2312" w:hAnsiTheme="minorHAnsi" w:cs="ArialUnicodeMS" w:hint="eastAsia"/>
          <w:kern w:val="0"/>
          <w:sz w:val="32"/>
          <w:szCs w:val="32"/>
        </w:rPr>
        <w:t>可分为财政拨款、财政性资金基本保证、财政性资金定额或定项补助、财政性资金零补助四类。</w:t>
      </w: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ind w:firstLineChars="200" w:firstLine="640"/>
        <w:rPr>
          <w:rFonts w:ascii="仿宋_GB2312" w:eastAsia="仿宋_GB2312" w:hAnsiTheme="minorHAnsi" w:cs="ArialUnicodeMS"/>
          <w:kern w:val="0"/>
          <w:sz w:val="32"/>
          <w:szCs w:val="32"/>
        </w:rPr>
      </w:pPr>
    </w:p>
    <w:p w:rsidR="0052058A" w:rsidRDefault="0052058A">
      <w:pPr>
        <w:widowControl/>
        <w:spacing w:after="0" w:line="560" w:lineRule="exact"/>
        <w:rPr>
          <w:rFonts w:ascii="仿宋_GB2312" w:eastAsia="仿宋_GB2312" w:hAnsiTheme="minorHAnsi" w:cs="ArialUnicodeMS"/>
          <w:kern w:val="0"/>
          <w:sz w:val="32"/>
          <w:szCs w:val="32"/>
        </w:rPr>
      </w:pPr>
    </w:p>
    <w:sectPr w:rsidR="0052058A" w:rsidSect="0052058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EA" w:rsidRDefault="00F805EA" w:rsidP="0052058A">
      <w:pPr>
        <w:spacing w:after="0" w:line="240" w:lineRule="auto"/>
      </w:pPr>
      <w:r>
        <w:separator/>
      </w:r>
    </w:p>
  </w:endnote>
  <w:endnote w:type="continuationSeparator" w:id="0">
    <w:p w:rsidR="00F805EA" w:rsidRDefault="00F805EA" w:rsidP="00520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 w:subsetted="1" w:fontKey="{FB1E583D-A9D1-4DA0-A708-EE3987419EE3}"/>
  </w:font>
  <w:font w:name="黑体">
    <w:altName w:val="SimHei"/>
    <w:panose1 w:val="02010609060101010101"/>
    <w:charset w:val="86"/>
    <w:family w:val="modern"/>
    <w:pitch w:val="fixed"/>
    <w:sig w:usb0="800002BF" w:usb1="38CF7CFA" w:usb2="00000016" w:usb3="00000000" w:csb0="00040001" w:csb1="00000000"/>
    <w:embedRegular r:id="rId2" w:subsetted="1" w:fontKey="{D57E577A-65C7-4C91-8342-EE4BD4EEFFB1}"/>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3" w:subsetted="1" w:fontKey="{B9C4FEA4-9F5C-4048-BC34-B344CFF32005}"/>
    <w:embedBold r:id="rId4" w:subsetted="1" w:fontKey="{6D0C74CC-7582-477B-8A50-C78FD988B05D}"/>
  </w:font>
  <w:font w:name="ArialUnicodeMS">
    <w:altName w:val="Malgun Gothic"/>
    <w:charset w:val="81"/>
    <w:family w:val="auto"/>
    <w:pitch w:val="default"/>
    <w:sig w:usb0="00000000" w:usb1="00000000" w:usb2="00000010" w:usb3="00000000" w:csb0="00080001" w:csb1="00000000"/>
  </w:font>
  <w:font w:name="MS-UIGothic,Bold">
    <w:altName w:val="Malgun Gothic"/>
    <w:charset w:val="81"/>
    <w:family w:val="auto"/>
    <w:pitch w:val="default"/>
    <w:sig w:usb0="00000000" w:usb1="00000000" w:usb2="00000010" w:usb3="00000000" w:csb0="00080000" w:csb1="00000000"/>
  </w:font>
  <w:font w:name="Arial">
    <w:panose1 w:val="020B0604020202020204"/>
    <w:charset w:val="00"/>
    <w:family w:val="swiss"/>
    <w:pitch w:val="variable"/>
    <w:sig w:usb0="E0002EFF" w:usb1="C000785B" w:usb2="00000009" w:usb3="00000000" w:csb0="000001FF" w:csb1="00000000"/>
  </w:font>
  <w:font w:name="DengXian-Regular">
    <w:altName w:val="宋体"/>
    <w:charset w:val="86"/>
    <w:family w:val="auto"/>
    <w:pitch w:val="default"/>
    <w:sig w:usb0="00000000" w:usb1="00000000" w:usb2="00000010" w:usb3="00000000" w:csb0="00040001" w:csb1="00000000"/>
  </w:font>
  <w:font w:name="仿宋">
    <w:panose1 w:val="02010609060101010101"/>
    <w:charset w:val="86"/>
    <w:family w:val="modern"/>
    <w:pitch w:val="fixed"/>
    <w:sig w:usb0="800002BF" w:usb1="38CF7CFA" w:usb2="00000016" w:usb3="00000000" w:csb0="00040001" w:csb1="00000000"/>
    <w:embedRegular r:id="rId5" w:subsetted="1" w:fontKey="{6689FDDC-C24F-4715-B8B5-43EABB08178E}"/>
  </w:font>
  <w:font w:name="楷体_GB2312">
    <w:panose1 w:val="02010609030101010101"/>
    <w:charset w:val="86"/>
    <w:family w:val="modern"/>
    <w:pitch w:val="fixed"/>
    <w:sig w:usb0="00000001" w:usb1="080E0000" w:usb2="00000010" w:usb3="00000000" w:csb0="00040000" w:csb1="00000000"/>
    <w:embedBold r:id="rId6" w:subsetted="1" w:fontKey="{559E8759-A88E-4B88-A848-9A9225C6E65F}"/>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058A" w:rsidRDefault="00EB2B20">
    <w:pPr>
      <w:pStyle w:val="a5"/>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52058A" w:rsidRDefault="00EB2B20">
                <w:pPr>
                  <w:pStyle w:val="a5"/>
                  <w:rPr>
                    <w:rFonts w:eastAsia="宋体"/>
                  </w:rPr>
                </w:pPr>
                <w:r>
                  <w:rPr>
                    <w:rFonts w:hint="eastAsia"/>
                  </w:rPr>
                  <w:fldChar w:fldCharType="begin"/>
                </w:r>
                <w:r w:rsidR="00E019B9">
                  <w:rPr>
                    <w:rFonts w:hint="eastAsia"/>
                  </w:rPr>
                  <w:instrText xml:space="preserve"> PAGE  \* MERGEFORMAT </w:instrText>
                </w:r>
                <w:r>
                  <w:rPr>
                    <w:rFonts w:hint="eastAsia"/>
                  </w:rPr>
                  <w:fldChar w:fldCharType="separate"/>
                </w:r>
                <w:r w:rsidR="008638C7">
                  <w:rPr>
                    <w:noProof/>
                  </w:rPr>
                  <w:t>28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EA" w:rsidRDefault="00F805EA" w:rsidP="0052058A">
      <w:pPr>
        <w:spacing w:after="0" w:line="240" w:lineRule="auto"/>
      </w:pPr>
      <w:r>
        <w:separator/>
      </w:r>
    </w:p>
  </w:footnote>
  <w:footnote w:type="continuationSeparator" w:id="0">
    <w:p w:rsidR="00F805EA" w:rsidRDefault="00F805EA" w:rsidP="00520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saveSubsetFonts/>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5122"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3F5B"/>
    <w:rsid w:val="003E7DB3"/>
    <w:rsid w:val="00431175"/>
    <w:rsid w:val="004374A3"/>
    <w:rsid w:val="00493686"/>
    <w:rsid w:val="004B6E37"/>
    <w:rsid w:val="004C32BA"/>
    <w:rsid w:val="004C68EF"/>
    <w:rsid w:val="0052058A"/>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638C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19B9"/>
    <w:rsid w:val="00E0589E"/>
    <w:rsid w:val="00E0697F"/>
    <w:rsid w:val="00E241FA"/>
    <w:rsid w:val="00E2595E"/>
    <w:rsid w:val="00E35374"/>
    <w:rsid w:val="00E50C19"/>
    <w:rsid w:val="00E64655"/>
    <w:rsid w:val="00E73081"/>
    <w:rsid w:val="00E856C9"/>
    <w:rsid w:val="00EA4F68"/>
    <w:rsid w:val="00EB2B20"/>
    <w:rsid w:val="00EB6A8B"/>
    <w:rsid w:val="00EC6814"/>
    <w:rsid w:val="00ED411D"/>
    <w:rsid w:val="00EF38C6"/>
    <w:rsid w:val="00F679C7"/>
    <w:rsid w:val="00F7711A"/>
    <w:rsid w:val="00F805EA"/>
    <w:rsid w:val="00F80C72"/>
    <w:rsid w:val="00FA0D58"/>
    <w:rsid w:val="00FA1580"/>
    <w:rsid w:val="00FA56F4"/>
    <w:rsid w:val="00FB4EDA"/>
    <w:rsid w:val="00FD3BD5"/>
    <w:rsid w:val="00FE3DC8"/>
    <w:rsid w:val="04073F84"/>
    <w:rsid w:val="06D37C0D"/>
    <w:rsid w:val="076E643F"/>
    <w:rsid w:val="085C2447"/>
    <w:rsid w:val="0A691C14"/>
    <w:rsid w:val="0AF464CE"/>
    <w:rsid w:val="0B60750A"/>
    <w:rsid w:val="0F630D85"/>
    <w:rsid w:val="101C7430"/>
    <w:rsid w:val="10686488"/>
    <w:rsid w:val="10DF728A"/>
    <w:rsid w:val="11B2241F"/>
    <w:rsid w:val="1264200E"/>
    <w:rsid w:val="131C2187"/>
    <w:rsid w:val="141C5B77"/>
    <w:rsid w:val="18D8339D"/>
    <w:rsid w:val="19945829"/>
    <w:rsid w:val="1A21388F"/>
    <w:rsid w:val="1A570D2F"/>
    <w:rsid w:val="1D756CE3"/>
    <w:rsid w:val="1F2D4AB6"/>
    <w:rsid w:val="22700B13"/>
    <w:rsid w:val="244221B5"/>
    <w:rsid w:val="24F06423"/>
    <w:rsid w:val="26791EFB"/>
    <w:rsid w:val="28FB0B8D"/>
    <w:rsid w:val="2D2B7942"/>
    <w:rsid w:val="2D46481D"/>
    <w:rsid w:val="2E733B28"/>
    <w:rsid w:val="302F7311"/>
    <w:rsid w:val="316C25E1"/>
    <w:rsid w:val="31852B5A"/>
    <w:rsid w:val="32D01238"/>
    <w:rsid w:val="386D6095"/>
    <w:rsid w:val="39CC12B8"/>
    <w:rsid w:val="3B2D70D8"/>
    <w:rsid w:val="3C6968DE"/>
    <w:rsid w:val="3CF74742"/>
    <w:rsid w:val="3DFC59A8"/>
    <w:rsid w:val="3ECF245E"/>
    <w:rsid w:val="3EFE160F"/>
    <w:rsid w:val="3FB96314"/>
    <w:rsid w:val="44C2430F"/>
    <w:rsid w:val="465D26C5"/>
    <w:rsid w:val="46711BF6"/>
    <w:rsid w:val="49122AE8"/>
    <w:rsid w:val="4A263476"/>
    <w:rsid w:val="4B8E630A"/>
    <w:rsid w:val="4F8C7610"/>
    <w:rsid w:val="50185F18"/>
    <w:rsid w:val="50B56B5C"/>
    <w:rsid w:val="53A44FAF"/>
    <w:rsid w:val="594329EC"/>
    <w:rsid w:val="5A324393"/>
    <w:rsid w:val="5BDB083F"/>
    <w:rsid w:val="5BEE1540"/>
    <w:rsid w:val="5DE61A5D"/>
    <w:rsid w:val="5E653B67"/>
    <w:rsid w:val="61EA7B32"/>
    <w:rsid w:val="63C04243"/>
    <w:rsid w:val="649C01C7"/>
    <w:rsid w:val="67403D5E"/>
    <w:rsid w:val="699A3F60"/>
    <w:rsid w:val="69D91D28"/>
    <w:rsid w:val="6C4A6663"/>
    <w:rsid w:val="6D6A2C25"/>
    <w:rsid w:val="6DB50336"/>
    <w:rsid w:val="6EC979D8"/>
    <w:rsid w:val="714254E2"/>
    <w:rsid w:val="72902E62"/>
    <w:rsid w:val="73C61104"/>
    <w:rsid w:val="776452EA"/>
    <w:rsid w:val="77F3394D"/>
    <w:rsid w:val="79F820BA"/>
    <w:rsid w:val="7A830C15"/>
    <w:rsid w:val="7BC638BB"/>
    <w:rsid w:val="7DC663B9"/>
    <w:rsid w:val="7FD210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1"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58A"/>
    <w:pPr>
      <w:widowControl w:val="0"/>
      <w:spacing w:after="160" w:line="480" w:lineRule="auto"/>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52058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2058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2058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52058A"/>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2058A"/>
    <w:pPr>
      <w:ind w:leftChars="2500" w:left="100"/>
    </w:pPr>
  </w:style>
  <w:style w:type="paragraph" w:styleId="a4">
    <w:name w:val="Balloon Text"/>
    <w:basedOn w:val="a"/>
    <w:link w:val="Char0"/>
    <w:uiPriority w:val="99"/>
    <w:semiHidden/>
    <w:unhideWhenUsed/>
    <w:qFormat/>
    <w:rsid w:val="0052058A"/>
    <w:rPr>
      <w:sz w:val="18"/>
      <w:szCs w:val="18"/>
    </w:rPr>
  </w:style>
  <w:style w:type="paragraph" w:styleId="a5">
    <w:name w:val="footer"/>
    <w:basedOn w:val="a"/>
    <w:link w:val="Char1"/>
    <w:uiPriority w:val="99"/>
    <w:unhideWhenUsed/>
    <w:qFormat/>
    <w:rsid w:val="0052058A"/>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5205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Subtitle"/>
    <w:basedOn w:val="a"/>
    <w:next w:val="a"/>
    <w:link w:val="Char3"/>
    <w:uiPriority w:val="11"/>
    <w:qFormat/>
    <w:rsid w:val="0052058A"/>
    <w:pPr>
      <w:widowControl/>
      <w:spacing w:after="200" w:line="276" w:lineRule="auto"/>
      <w:jc w:val="left"/>
    </w:pPr>
    <w:rPr>
      <w:rFonts w:asciiTheme="majorHAnsi" w:eastAsiaTheme="majorEastAsia" w:hAnsiTheme="majorHAnsi" w:cstheme="majorBidi"/>
      <w:i/>
      <w:iCs/>
      <w:color w:val="F0A22E" w:themeColor="accent1"/>
      <w:spacing w:val="15"/>
      <w:kern w:val="0"/>
      <w:sz w:val="24"/>
    </w:rPr>
  </w:style>
  <w:style w:type="paragraph" w:styleId="a8">
    <w:name w:val="Title"/>
    <w:basedOn w:val="a"/>
    <w:next w:val="a"/>
    <w:link w:val="Char4"/>
    <w:uiPriority w:val="10"/>
    <w:qFormat/>
    <w:rsid w:val="0052058A"/>
    <w:pPr>
      <w:widowControl/>
      <w:pBdr>
        <w:bottom w:val="single" w:sz="8" w:space="4" w:color="F0A22E" w:themeColor="accent1"/>
      </w:pBdr>
      <w:spacing w:after="300"/>
      <w:contextualSpacing/>
      <w:jc w:val="left"/>
    </w:pPr>
    <w:rPr>
      <w:rFonts w:asciiTheme="majorHAnsi" w:eastAsiaTheme="majorEastAsia" w:hAnsiTheme="majorHAnsi" w:cstheme="majorBidi"/>
      <w:color w:val="3A2C24" w:themeColor="text2" w:themeShade="BF"/>
      <w:spacing w:val="5"/>
      <w:kern w:val="28"/>
      <w:sz w:val="52"/>
      <w:szCs w:val="52"/>
    </w:rPr>
  </w:style>
  <w:style w:type="table" w:styleId="a9">
    <w:name w:val="Table Grid"/>
    <w:basedOn w:val="a1"/>
    <w:uiPriority w:val="1"/>
    <w:qFormat/>
    <w:rsid w:val="0052058A"/>
    <w:rPr>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页眉 Char"/>
    <w:basedOn w:val="a0"/>
    <w:link w:val="a6"/>
    <w:uiPriority w:val="99"/>
    <w:qFormat/>
    <w:rsid w:val="0052058A"/>
    <w:rPr>
      <w:sz w:val="18"/>
      <w:szCs w:val="18"/>
    </w:rPr>
  </w:style>
  <w:style w:type="character" w:customStyle="1" w:styleId="Char1">
    <w:name w:val="页脚 Char"/>
    <w:basedOn w:val="a0"/>
    <w:link w:val="a5"/>
    <w:uiPriority w:val="99"/>
    <w:qFormat/>
    <w:rsid w:val="0052058A"/>
    <w:rPr>
      <w:sz w:val="18"/>
      <w:szCs w:val="18"/>
    </w:rPr>
  </w:style>
  <w:style w:type="paragraph" w:styleId="aa">
    <w:name w:val="No Spacing"/>
    <w:link w:val="Char5"/>
    <w:uiPriority w:val="1"/>
    <w:qFormat/>
    <w:rsid w:val="0052058A"/>
    <w:pPr>
      <w:spacing w:after="160" w:line="480" w:lineRule="auto"/>
    </w:pPr>
    <w:rPr>
      <w:sz w:val="22"/>
      <w:szCs w:val="22"/>
    </w:rPr>
  </w:style>
  <w:style w:type="character" w:customStyle="1" w:styleId="Char5">
    <w:name w:val="无间隔 Char"/>
    <w:basedOn w:val="a0"/>
    <w:link w:val="aa"/>
    <w:uiPriority w:val="1"/>
    <w:qFormat/>
    <w:rsid w:val="0052058A"/>
    <w:rPr>
      <w:kern w:val="0"/>
      <w:sz w:val="22"/>
    </w:rPr>
  </w:style>
  <w:style w:type="character" w:customStyle="1" w:styleId="Char0">
    <w:name w:val="批注框文本 Char"/>
    <w:basedOn w:val="a0"/>
    <w:link w:val="a4"/>
    <w:uiPriority w:val="99"/>
    <w:semiHidden/>
    <w:qFormat/>
    <w:rsid w:val="0052058A"/>
    <w:rPr>
      <w:rFonts w:ascii="Times New Roman" w:eastAsia="宋体" w:hAnsi="Times New Roman" w:cs="Times New Roman"/>
      <w:sz w:val="18"/>
      <w:szCs w:val="18"/>
    </w:rPr>
  </w:style>
  <w:style w:type="character" w:customStyle="1" w:styleId="Char4">
    <w:name w:val="标题 Char"/>
    <w:basedOn w:val="a0"/>
    <w:link w:val="a8"/>
    <w:uiPriority w:val="10"/>
    <w:qFormat/>
    <w:rsid w:val="0052058A"/>
    <w:rPr>
      <w:rFonts w:asciiTheme="majorHAnsi" w:eastAsiaTheme="majorEastAsia" w:hAnsiTheme="majorHAnsi" w:cstheme="majorBidi"/>
      <w:color w:val="3A2C24" w:themeColor="text2" w:themeShade="BF"/>
      <w:spacing w:val="5"/>
      <w:kern w:val="28"/>
      <w:sz w:val="52"/>
      <w:szCs w:val="52"/>
    </w:rPr>
  </w:style>
  <w:style w:type="character" w:customStyle="1" w:styleId="Char3">
    <w:name w:val="副标题 Char"/>
    <w:basedOn w:val="a0"/>
    <w:link w:val="a7"/>
    <w:uiPriority w:val="11"/>
    <w:qFormat/>
    <w:rsid w:val="0052058A"/>
    <w:rPr>
      <w:rFonts w:asciiTheme="majorHAnsi" w:eastAsiaTheme="majorEastAsia" w:hAnsiTheme="majorHAnsi" w:cstheme="majorBidi"/>
      <w:i/>
      <w:iCs/>
      <w:color w:val="F0A22E" w:themeColor="accent1"/>
      <w:spacing w:val="15"/>
      <w:kern w:val="0"/>
      <w:sz w:val="24"/>
      <w:szCs w:val="24"/>
    </w:rPr>
  </w:style>
  <w:style w:type="character" w:customStyle="1" w:styleId="Style1">
    <w:name w:val="Style1"/>
    <w:basedOn w:val="a0"/>
    <w:uiPriority w:val="1"/>
    <w:qFormat/>
    <w:rsid w:val="0052058A"/>
    <w:rPr>
      <w:rFonts w:asciiTheme="minorHAnsi" w:eastAsiaTheme="minorEastAsia" w:hAnsiTheme="minorEastAsia" w:cstheme="minorBidi"/>
      <w:sz w:val="22"/>
      <w:szCs w:val="22"/>
      <w:lang w:eastAsia="zh-CN"/>
    </w:rPr>
  </w:style>
  <w:style w:type="character" w:customStyle="1" w:styleId="Style2">
    <w:name w:val="Style2"/>
    <w:basedOn w:val="a0"/>
    <w:uiPriority w:val="1"/>
    <w:qFormat/>
    <w:rsid w:val="0052058A"/>
    <w:rPr>
      <w:rFonts w:asciiTheme="minorHAnsi" w:eastAsiaTheme="minorEastAsia" w:hAnsiTheme="minorEastAsia" w:cstheme="minorBidi"/>
      <w:sz w:val="22"/>
      <w:szCs w:val="22"/>
      <w:lang w:eastAsia="zh-CN"/>
    </w:rPr>
  </w:style>
  <w:style w:type="character" w:customStyle="1" w:styleId="Style3">
    <w:name w:val="Style3"/>
    <w:basedOn w:val="a0"/>
    <w:uiPriority w:val="1"/>
    <w:qFormat/>
    <w:rsid w:val="0052058A"/>
    <w:rPr>
      <w:rFonts w:asciiTheme="minorHAnsi" w:eastAsiaTheme="minorEastAsia" w:hAnsiTheme="minorEastAsia" w:cstheme="minorBidi"/>
      <w:szCs w:val="22"/>
      <w:lang w:eastAsia="zh-CN"/>
    </w:rPr>
  </w:style>
  <w:style w:type="character" w:customStyle="1" w:styleId="Style4">
    <w:name w:val="Style4"/>
    <w:basedOn w:val="a0"/>
    <w:uiPriority w:val="1"/>
    <w:qFormat/>
    <w:rsid w:val="0052058A"/>
    <w:rPr>
      <w:rFonts w:asciiTheme="minorHAnsi" w:eastAsiaTheme="minorEastAsia" w:hAnsiTheme="minorEastAsia" w:cstheme="minorBidi"/>
      <w:szCs w:val="22"/>
      <w:lang w:eastAsia="zh-CN"/>
    </w:rPr>
  </w:style>
  <w:style w:type="character" w:customStyle="1" w:styleId="Style5">
    <w:name w:val="Style5"/>
    <w:basedOn w:val="a0"/>
    <w:uiPriority w:val="1"/>
    <w:qFormat/>
    <w:rsid w:val="0052058A"/>
    <w:rPr>
      <w:rFonts w:asciiTheme="minorHAnsi" w:eastAsiaTheme="minorEastAsia" w:hAnsiTheme="minorEastAsia" w:cstheme="minorBidi"/>
      <w:sz w:val="22"/>
      <w:szCs w:val="22"/>
      <w:lang w:eastAsia="zh-CN"/>
    </w:rPr>
  </w:style>
  <w:style w:type="character" w:customStyle="1" w:styleId="1Char">
    <w:name w:val="标题 1 Char"/>
    <w:basedOn w:val="a0"/>
    <w:link w:val="1"/>
    <w:uiPriority w:val="9"/>
    <w:qFormat/>
    <w:rsid w:val="0052058A"/>
    <w:rPr>
      <w:rFonts w:ascii="Times New Roman" w:eastAsia="宋体" w:hAnsi="Times New Roman" w:cs="Times New Roman"/>
      <w:b/>
      <w:bCs/>
      <w:kern w:val="44"/>
      <w:sz w:val="44"/>
      <w:szCs w:val="44"/>
    </w:rPr>
  </w:style>
  <w:style w:type="character" w:customStyle="1" w:styleId="2Char">
    <w:name w:val="标题 2 Char"/>
    <w:basedOn w:val="a0"/>
    <w:link w:val="2"/>
    <w:uiPriority w:val="9"/>
    <w:qFormat/>
    <w:rsid w:val="0052058A"/>
    <w:rPr>
      <w:rFonts w:asciiTheme="majorHAnsi" w:eastAsiaTheme="majorEastAsia" w:hAnsiTheme="majorHAnsi" w:cstheme="majorBidi"/>
      <w:b/>
      <w:bCs/>
      <w:sz w:val="32"/>
      <w:szCs w:val="32"/>
    </w:rPr>
  </w:style>
  <w:style w:type="character" w:customStyle="1" w:styleId="3Char">
    <w:name w:val="标题 3 Char"/>
    <w:basedOn w:val="a0"/>
    <w:link w:val="3"/>
    <w:uiPriority w:val="9"/>
    <w:qFormat/>
    <w:rsid w:val="0052058A"/>
    <w:rPr>
      <w:rFonts w:ascii="Times New Roman" w:eastAsia="宋体" w:hAnsi="Times New Roman" w:cs="Times New Roman"/>
      <w:b/>
      <w:bCs/>
      <w:sz w:val="32"/>
      <w:szCs w:val="32"/>
    </w:rPr>
  </w:style>
  <w:style w:type="character" w:customStyle="1" w:styleId="4Char">
    <w:name w:val="标题 4 Char"/>
    <w:basedOn w:val="a0"/>
    <w:link w:val="4"/>
    <w:uiPriority w:val="9"/>
    <w:qFormat/>
    <w:rsid w:val="0052058A"/>
    <w:rPr>
      <w:rFonts w:asciiTheme="majorHAnsi" w:eastAsiaTheme="majorEastAsia" w:hAnsiTheme="majorHAnsi" w:cstheme="majorBidi"/>
      <w:b/>
      <w:bCs/>
      <w:sz w:val="28"/>
      <w:szCs w:val="28"/>
    </w:rPr>
  </w:style>
  <w:style w:type="character" w:customStyle="1" w:styleId="Char">
    <w:name w:val="日期 Char"/>
    <w:basedOn w:val="a0"/>
    <w:link w:val="a3"/>
    <w:uiPriority w:val="99"/>
    <w:semiHidden/>
    <w:qFormat/>
    <w:rsid w:val="0052058A"/>
    <w:rPr>
      <w:rFonts w:ascii="Times New Roman" w:eastAsia="宋体" w:hAnsi="Times New Roman" w:cs="Times New Roman"/>
      <w:szCs w:val="24"/>
    </w:rPr>
  </w:style>
  <w:style w:type="paragraph" w:styleId="ab">
    <w:name w:val="List Paragraph"/>
    <w:basedOn w:val="a"/>
    <w:uiPriority w:val="99"/>
    <w:unhideWhenUsed/>
    <w:qFormat/>
    <w:rsid w:val="0052058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1.xml"/><Relationship Id="rId5" Type="http://schemas.openxmlformats.org/officeDocument/2006/relationships/styles" Target="styles.xml"/><Relationship Id="rId15" Type="http://schemas.openxmlformats.org/officeDocument/2006/relationships/chart" Target="charts/chart5.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hart" Target="charts/chart4.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endParaRPr lang="zh-CN"/>
        </a:p>
      </c:txPr>
    </c:title>
    <c:view3D>
      <c:rotX val="30"/>
      <c:depthPercent val="100"/>
      <c:perspective val="30"/>
    </c:view3D>
    <c:plotArea>
      <c:layout/>
      <c:pie3DChart>
        <c:varyColors val="1"/>
        <c:ser>
          <c:idx val="0"/>
          <c:order val="0"/>
          <c:tx>
            <c:strRef>
              <c:f>Sheet1!$B$1</c:f>
              <c:strCache>
                <c:ptCount val="1"/>
                <c:pt idx="0">
                  <c:v>收入决算情况饼状图</c:v>
                </c:pt>
              </c:strCache>
            </c:strRef>
          </c:tx>
          <c:cat>
            <c:strRef>
              <c:f>Sheet1!$A$2:$A$5</c:f>
              <c:strCache>
                <c:ptCount val="4"/>
                <c:pt idx="0">
                  <c:v>财政拨款收入</c:v>
                </c:pt>
                <c:pt idx="1">
                  <c:v>其他收入</c:v>
                </c:pt>
                <c:pt idx="2">
                  <c:v>经营收入</c:v>
                </c:pt>
                <c:pt idx="3">
                  <c:v>事业收入</c:v>
                </c:pt>
              </c:strCache>
            </c:strRef>
          </c:cat>
          <c:val>
            <c:numRef>
              <c:f>Sheet1!$B$2:$B$5</c:f>
              <c:numCache>
                <c:formatCode>General</c:formatCode>
                <c:ptCount val="4"/>
                <c:pt idx="0">
                  <c:v>2731.13</c:v>
                </c:pt>
                <c:pt idx="1">
                  <c:v>4</c:v>
                </c:pt>
                <c:pt idx="2">
                  <c:v>0</c:v>
                </c:pt>
                <c:pt idx="3">
                  <c:v>0</c:v>
                </c:pt>
              </c:numCache>
            </c:numRef>
          </c:val>
        </c:ser>
      </c:pie3DChart>
    </c:plotArea>
    <c:legend>
      <c:legendPos val="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title>
      <c:txPr>
        <a:bodyPr rot="0" spcFirstLastPara="0" vertOverflow="ellipsis" vert="horz" wrap="square" anchor="ctr" anchorCtr="1"/>
        <a:lstStyle/>
        <a:p>
          <a:pPr>
            <a:defRPr lang="zh-CN" sz="1320" b="1" i="0" u="none" strike="noStrike" kern="1200" baseline="0">
              <a:solidFill>
                <a:schemeClr val="tx1"/>
              </a:solidFill>
              <a:latin typeface="+mn-lt"/>
              <a:ea typeface="+mn-ea"/>
              <a:cs typeface="+mn-cs"/>
            </a:defRPr>
          </a:pPr>
          <a:endParaRPr lang="zh-CN"/>
        </a:p>
      </c:txPr>
    </c:title>
    <c:view3D>
      <c:rotX val="30"/>
      <c:depthPercent val="100"/>
      <c:perspective val="30"/>
    </c:view3D>
    <c:plotArea>
      <c:layout>
        <c:manualLayout>
          <c:layoutTarget val="inner"/>
          <c:xMode val="edge"/>
          <c:yMode val="edge"/>
          <c:x val="6.1586078720966213E-2"/>
          <c:y val="0.3705356006954752"/>
          <c:w val="0.75877801918846588"/>
          <c:h val="0.62946439930452502"/>
        </c:manualLayout>
      </c:layout>
      <c:pie3DChart>
        <c:varyColors val="1"/>
        <c:ser>
          <c:idx val="0"/>
          <c:order val="0"/>
          <c:tx>
            <c:strRef>
              <c:f>Sheet1!$B$1</c:f>
              <c:strCache>
                <c:ptCount val="1"/>
                <c:pt idx="0">
                  <c:v>支出决算结构饼状图</c:v>
                </c:pt>
              </c:strCache>
            </c:strRef>
          </c:tx>
          <c:dPt>
            <c:idx val="0"/>
            <c:explosion val="18"/>
          </c:dPt>
          <c:cat>
            <c:strRef>
              <c:f>Sheet1!$A$2:$A$4</c:f>
              <c:strCache>
                <c:ptCount val="3"/>
                <c:pt idx="0">
                  <c:v>基本支出</c:v>
                </c:pt>
                <c:pt idx="1">
                  <c:v>项目支出</c:v>
                </c:pt>
                <c:pt idx="2">
                  <c:v>经营支出</c:v>
                </c:pt>
              </c:strCache>
            </c:strRef>
          </c:cat>
          <c:val>
            <c:numRef>
              <c:f>Sheet1!$B$2:$B$4</c:f>
              <c:numCache>
                <c:formatCode>General</c:formatCode>
                <c:ptCount val="3"/>
                <c:pt idx="0">
                  <c:v>1964.26</c:v>
                </c:pt>
                <c:pt idx="1">
                  <c:v>796.28000000000145</c:v>
                </c:pt>
                <c:pt idx="2">
                  <c:v>0</c:v>
                </c:pt>
              </c:numCache>
            </c:numRef>
          </c:val>
        </c:ser>
      </c:pie3DChart>
    </c:plotArea>
    <c:legend>
      <c:legendPos val="r"/>
      <c:txPr>
        <a:bodyPr rot="0" spcFirstLastPara="0" vertOverflow="ellipsis" vert="horz" wrap="square" anchor="ctr" anchorCtr="1"/>
        <a:lstStyle/>
        <a:p>
          <a:pPr>
            <a:defRPr lang="zh-CN" sz="1100" b="0" i="0" u="none" strike="noStrike" kern="1200" baseline="0">
              <a:solidFill>
                <a:schemeClr val="tx1"/>
              </a:solidFill>
              <a:latin typeface="+mn-lt"/>
              <a:ea typeface="+mn-ea"/>
              <a:cs typeface="+mn-cs"/>
            </a:defRPr>
          </a:pPr>
          <a:endParaRPr lang="zh-CN"/>
        </a:p>
      </c:txPr>
    </c:legend>
    <c:plotVisOnly val="1"/>
    <c:dispBlanksAs val="zero"/>
  </c:chart>
  <c:spPr>
    <a:ln w="9525" cap="flat" cmpd="sng" algn="ctr">
      <a:noFill/>
      <a:prstDash val="solid"/>
      <a:round/>
    </a:ln>
  </c:spPr>
  <c:txPr>
    <a:bodyPr/>
    <a:lstStyle/>
    <a:p>
      <a:pPr>
        <a:defRPr lang="zh-CN" sz="1100"/>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列1</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cat>
            <c:strRef>
              <c:f>Sheet1!$A$2:$A$3</c:f>
              <c:strCache>
                <c:ptCount val="2"/>
                <c:pt idx="0">
                  <c:v>本年收入</c:v>
                </c:pt>
                <c:pt idx="1">
                  <c:v>本年支出</c:v>
                </c:pt>
              </c:strCache>
            </c:strRef>
          </c:cat>
          <c:val>
            <c:numRef>
              <c:f>Sheet1!$B$2:$B$3</c:f>
              <c:numCache>
                <c:formatCode>General</c:formatCode>
                <c:ptCount val="2"/>
                <c:pt idx="0">
                  <c:v>1392.07</c:v>
                </c:pt>
                <c:pt idx="1">
                  <c:v>1370.26</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barChart>
        <c:barDir val="col"/>
        <c:grouping val="clustered"/>
        <c:ser>
          <c:idx val="0"/>
          <c:order val="0"/>
          <c:tx>
            <c:strRef>
              <c:f>Sheet1!$B$1</c:f>
              <c:strCache>
                <c:ptCount val="1"/>
                <c:pt idx="0">
                  <c:v>预算数</c:v>
                </c:pt>
              </c:strCache>
            </c:strRef>
          </c:tx>
          <c:spPr>
            <a:solidFill>
              <a:schemeClr val="accent1">
                <a:tint val="100000"/>
                <a:shade val="100000"/>
                <a:hueMod val="100000"/>
                <a:satMod val="100000"/>
              </a:schemeClr>
            </a:solidFill>
            <a:ln>
              <a:noFill/>
            </a:ln>
            <a:effectLst/>
          </c:spPr>
          <c:cat>
            <c:strRef>
              <c:f>Sheet1!$A$2:$A$3</c:f>
              <c:strCache>
                <c:ptCount val="2"/>
                <c:pt idx="0">
                  <c:v>收入</c:v>
                </c:pt>
                <c:pt idx="1">
                  <c:v>支出</c:v>
                </c:pt>
              </c:strCache>
            </c:strRef>
          </c:cat>
          <c:val>
            <c:numRef>
              <c:f>Sheet1!$B$2:$B$3</c:f>
              <c:numCache>
                <c:formatCode>General</c:formatCode>
                <c:ptCount val="2"/>
                <c:pt idx="0">
                  <c:v>1701.54</c:v>
                </c:pt>
                <c:pt idx="1">
                  <c:v>1701.54</c:v>
                </c:pt>
              </c:numCache>
            </c:numRef>
          </c:val>
        </c:ser>
        <c:ser>
          <c:idx val="1"/>
          <c:order val="1"/>
          <c:tx>
            <c:strRef>
              <c:f>Sheet1!$C$1</c:f>
              <c:strCache>
                <c:ptCount val="1"/>
                <c:pt idx="0">
                  <c:v>实际收支数</c:v>
                </c:pt>
              </c:strCache>
            </c:strRef>
          </c:tx>
          <c:spPr>
            <a:solidFill>
              <a:schemeClr val="accent2">
                <a:tint val="100000"/>
                <a:shade val="100000"/>
                <a:hueMod val="100000"/>
                <a:satMod val="100000"/>
              </a:schemeClr>
            </a:solidFill>
            <a:ln>
              <a:noFill/>
            </a:ln>
            <a:effectLst/>
          </c:spPr>
          <c:cat>
            <c:strRef>
              <c:f>Sheet1!$A$2:$A$3</c:f>
              <c:strCache>
                <c:ptCount val="2"/>
                <c:pt idx="0">
                  <c:v>收入</c:v>
                </c:pt>
                <c:pt idx="1">
                  <c:v>支出</c:v>
                </c:pt>
              </c:strCache>
            </c:strRef>
          </c:cat>
          <c:val>
            <c:numRef>
              <c:f>Sheet1!$C$2:$C$3</c:f>
              <c:numCache>
                <c:formatCode>General</c:formatCode>
                <c:ptCount val="2"/>
                <c:pt idx="0">
                  <c:v>1392.07</c:v>
                </c:pt>
                <c:pt idx="1">
                  <c:v>1370.26</c:v>
                </c:pt>
              </c:numCache>
            </c:numRef>
          </c:val>
        </c:ser>
        <c:ser>
          <c:idx val="2"/>
          <c:order val="2"/>
          <c:tx>
            <c:strRef>
              <c:f>Sheet1!#REF!</c:f>
              <c:strCache>
                <c:ptCount val="1"/>
              </c:strCache>
            </c:strRef>
          </c:tx>
          <c:spPr>
            <a:solidFill>
              <a:schemeClr val="accent3">
                <a:tint val="100000"/>
                <a:shade val="100000"/>
                <a:hueMod val="100000"/>
                <a:satMod val="100000"/>
              </a:schemeClr>
            </a:solidFill>
            <a:ln>
              <a:noFill/>
            </a:ln>
            <a:effectLst/>
          </c:spPr>
          <c:cat>
            <c:strRef>
              <c:f>Sheet1!$A$2:$A$3</c:f>
              <c:strCache>
                <c:ptCount val="2"/>
                <c:pt idx="0">
                  <c:v>收入</c:v>
                </c:pt>
                <c:pt idx="1">
                  <c:v>支出</c:v>
                </c:pt>
              </c:strCache>
            </c:strRef>
          </c:cat>
          <c:val>
            <c:numRef>
              <c:f>Sheet1!#REF!</c:f>
              <c:numCache>
                <c:formatCode>General</c:formatCode>
                <c:ptCount val="1"/>
                <c:pt idx="0">
                  <c:v>1</c:v>
                </c:pt>
              </c:numCache>
            </c:numRef>
          </c:val>
        </c:ser>
        <c:gapWidth val="219"/>
        <c:overlap val="-27"/>
        <c:axId val="37001856"/>
        <c:axId val="37015936"/>
      </c:barChart>
      <c:catAx>
        <c:axId val="3700185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015936"/>
        <c:crosses val="autoZero"/>
        <c:auto val="1"/>
        <c:lblAlgn val="ctr"/>
        <c:lblOffset val="100"/>
      </c:catAx>
      <c:valAx>
        <c:axId val="370159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crossAx val="37001856"/>
        <c:crosses val="autoZero"/>
        <c:crossBetween val="between"/>
      </c:valAx>
      <c:spPr>
        <a:noFill/>
        <a:ln>
          <a:noFill/>
        </a:ln>
        <a:effectLst/>
      </c:spPr>
    </c:plotArea>
    <c:legend>
      <c:legendPos val="b"/>
      <c:legendEntry>
        <c:idx val="2"/>
        <c:delete val="1"/>
      </c:legendEntry>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titl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endParaRPr lang="zh-CN"/>
        </a:p>
      </c:txPr>
    </c:title>
    <c:plotArea>
      <c:layout/>
      <c:pieChart>
        <c:varyColors val="1"/>
        <c:ser>
          <c:idx val="0"/>
          <c:order val="0"/>
          <c:tx>
            <c:strRef>
              <c:f>Sheet1!$B$1</c:f>
              <c:strCache>
                <c:ptCount val="1"/>
                <c:pt idx="0">
                  <c:v>列1</c:v>
                </c:pt>
              </c:strCache>
            </c:strRef>
          </c:tx>
          <c:dPt>
            <c:idx val="0"/>
            <c:spPr>
              <a:solidFill>
                <a:schemeClr val="accent1">
                  <a:tint val="100000"/>
                  <a:shade val="100000"/>
                  <a:hueMod val="100000"/>
                  <a:satMod val="100000"/>
                </a:schemeClr>
              </a:solidFill>
              <a:ln w="19050">
                <a:solidFill>
                  <a:schemeClr val="lt1"/>
                </a:solidFill>
              </a:ln>
              <a:effectLst/>
            </c:spPr>
          </c:dPt>
          <c:dPt>
            <c:idx val="1"/>
            <c:spPr>
              <a:solidFill>
                <a:schemeClr val="accent2">
                  <a:tint val="100000"/>
                  <a:shade val="100000"/>
                  <a:hueMod val="100000"/>
                  <a:satMod val="100000"/>
                </a:schemeClr>
              </a:solidFill>
              <a:ln w="19050">
                <a:solidFill>
                  <a:schemeClr val="lt1"/>
                </a:solidFill>
              </a:ln>
              <a:effectLst/>
            </c:spPr>
          </c:dPt>
          <c:dPt>
            <c:idx val="2"/>
            <c:spPr>
              <a:solidFill>
                <a:schemeClr val="accent3">
                  <a:tint val="100000"/>
                  <a:shade val="100000"/>
                  <a:hueMod val="100000"/>
                  <a:satMod val="100000"/>
                </a:schemeClr>
              </a:solidFill>
              <a:ln w="19050">
                <a:solidFill>
                  <a:schemeClr val="lt1"/>
                </a:solidFill>
              </a:ln>
              <a:effectLst/>
            </c:spPr>
          </c:dPt>
          <c:dPt>
            <c:idx val="3"/>
            <c:spPr>
              <a:solidFill>
                <a:schemeClr val="accent4">
                  <a:tint val="100000"/>
                  <a:shade val="100000"/>
                  <a:hueMod val="100000"/>
                  <a:satMod val="100000"/>
                </a:schemeClr>
              </a:solidFill>
              <a:ln w="19050">
                <a:solidFill>
                  <a:schemeClr val="lt1"/>
                </a:solidFill>
              </a:ln>
              <a:effectLst/>
            </c:spPr>
          </c:dPt>
          <c:cat>
            <c:strRef>
              <c:f>Sheet1!$A$2:$A$5</c:f>
              <c:strCache>
                <c:ptCount val="4"/>
                <c:pt idx="0">
                  <c:v>一般公共服务（类）支出</c:v>
                </c:pt>
                <c:pt idx="1">
                  <c:v>社会保障和就业（类）支出</c:v>
                </c:pt>
                <c:pt idx="2">
                  <c:v>住房保障（类）支出</c:v>
                </c:pt>
                <c:pt idx="3">
                  <c:v>医疗卫生与计划生育支出</c:v>
                </c:pt>
              </c:strCache>
            </c:strRef>
          </c:cat>
          <c:val>
            <c:numRef>
              <c:f>Sheet1!$B$2:$B$5</c:f>
              <c:numCache>
                <c:formatCode>General</c:formatCode>
                <c:ptCount val="4"/>
                <c:pt idx="0">
                  <c:v>1296.5899999999999</c:v>
                </c:pt>
                <c:pt idx="1">
                  <c:v>39.130000000000003</c:v>
                </c:pt>
                <c:pt idx="2">
                  <c:v>20.259999999999987</c:v>
                </c:pt>
                <c:pt idx="3">
                  <c:v>14.28</c:v>
                </c:pt>
              </c:numCache>
            </c:numRef>
          </c:val>
        </c:ser>
        <c:firstSliceAng val="0"/>
      </c:pieChart>
      <c:spPr>
        <a:noFill/>
        <a:ln>
          <a:noFill/>
        </a:ln>
        <a:effectLst/>
      </c:spPr>
    </c:plotArea>
    <c:legend>
      <c:legendPos val="b"/>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endParaRPr lang="zh-CN"/>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lang="zh-CN"/>
      </a:pPr>
      <a:endParaRPr lang="zh-CN"/>
    </a:p>
  </c:txPr>
  <c:externalData r:id="rId1"/>
</c:chartSpac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980054F-B28D-4D20-BE5A-259072D9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2111</Words>
  <Characters>12035</Characters>
  <Application>Microsoft Office Word</Application>
  <DocSecurity>0</DocSecurity>
  <Lines>100</Lines>
  <Paragraphs>28</Paragraphs>
  <ScaleCrop>false</ScaleCrop>
  <Company>Microsoft</Company>
  <LinksUpToDate>false</LinksUpToDate>
  <CharactersWithSpaces>14118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2017年度部门决算</dc:title>
  <dc:subject>石家庄市xxx部门</dc:subject>
  <dc:creator>User</dc:creator>
  <cp:lastModifiedBy>naihong</cp:lastModifiedBy>
  <cp:revision>25</cp:revision>
  <cp:lastPrinted>2019-09-27T00:42:00Z</cp:lastPrinted>
  <dcterms:created xsi:type="dcterms:W3CDTF">2019-09-26T01:09:00Z</dcterms:created>
  <dcterms:modified xsi:type="dcterms:W3CDTF">2023-11-16T07:56:00Z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